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b w:val="0"/>
          <w:bCs w:val="0"/>
          <w:snapToGrid/>
          <w:kern w:val="2"/>
          <w:sz w:val="44"/>
          <w:szCs w:val="44"/>
          <w:lang w:eastAsia="zh-CN"/>
        </w:rPr>
      </w:pPr>
      <w:r>
        <w:rPr>
          <w:rFonts w:hint="default" w:ascii="Times New Roman" w:hAnsi="Times New Roman" w:eastAsia="方正小标宋_GBK" w:cs="Times New Roman"/>
          <w:b w:val="0"/>
          <w:bCs w:val="0"/>
          <w:snapToGrid/>
          <w:kern w:val="2"/>
          <w:sz w:val="44"/>
          <w:szCs w:val="44"/>
          <w:lang w:eastAsia="zh-CN"/>
        </w:rPr>
        <w:t>株洲市</w:t>
      </w:r>
      <w:r>
        <w:rPr>
          <w:rFonts w:hint="default" w:ascii="Times New Roman" w:hAnsi="Times New Roman" w:eastAsia="方正小标宋_GBK" w:cs="Times New Roman"/>
          <w:b w:val="0"/>
          <w:bCs w:val="0"/>
          <w:snapToGrid/>
          <w:kern w:val="2"/>
          <w:sz w:val="44"/>
          <w:szCs w:val="44"/>
          <w:lang w:val="en-US" w:eastAsia="zh-CN"/>
        </w:rPr>
        <w:t>渌口区</w:t>
      </w:r>
      <w:r>
        <w:rPr>
          <w:rFonts w:hint="default" w:ascii="Times New Roman" w:hAnsi="Times New Roman" w:eastAsia="方正小标宋_GBK" w:cs="Times New Roman"/>
          <w:b w:val="0"/>
          <w:bCs w:val="0"/>
          <w:snapToGrid/>
          <w:kern w:val="2"/>
          <w:sz w:val="44"/>
          <w:szCs w:val="44"/>
          <w:lang w:eastAsia="zh-CN"/>
        </w:rPr>
        <w:t>行政审批中介服务事项目录清单（202</w:t>
      </w:r>
      <w:r>
        <w:rPr>
          <w:rFonts w:hint="default" w:ascii="Times New Roman" w:hAnsi="Times New Roman" w:eastAsia="方正小标宋_GBK" w:cs="Times New Roman"/>
          <w:b w:val="0"/>
          <w:bCs w:val="0"/>
          <w:snapToGrid/>
          <w:kern w:val="2"/>
          <w:sz w:val="44"/>
          <w:szCs w:val="44"/>
          <w:lang w:val="en-US" w:eastAsia="zh-CN"/>
        </w:rPr>
        <w:t>4</w:t>
      </w:r>
      <w:r>
        <w:rPr>
          <w:rFonts w:hint="default" w:ascii="Times New Roman" w:hAnsi="Times New Roman" w:eastAsia="方正小标宋_GBK" w:cs="Times New Roman"/>
          <w:b w:val="0"/>
          <w:bCs w:val="0"/>
          <w:snapToGrid/>
          <w:kern w:val="2"/>
          <w:sz w:val="44"/>
          <w:szCs w:val="44"/>
          <w:lang w:eastAsia="zh-CN"/>
        </w:rPr>
        <w:t>年版）</w:t>
      </w:r>
      <w:bookmarkStart w:id="0" w:name="_GoBack"/>
      <w:bookmarkEnd w:id="0"/>
    </w:p>
    <w:p>
      <w:pPr>
        <w:spacing w:line="177" w:lineRule="exact"/>
        <w:rPr>
          <w:rFonts w:hint="default" w:ascii="Times New Roman" w:hAnsi="Times New Roman" w:cs="Times New Roman"/>
        </w:rPr>
      </w:pPr>
    </w:p>
    <w:tbl>
      <w:tblPr>
        <w:tblStyle w:val="5"/>
        <w:tblW w:w="5363" w:type="pct"/>
        <w:jc w:val="center"/>
        <w:tblLayout w:type="fixed"/>
        <w:tblCellMar>
          <w:top w:w="0" w:type="dxa"/>
          <w:left w:w="15" w:type="dxa"/>
          <w:bottom w:w="0" w:type="dxa"/>
          <w:right w:w="15" w:type="dxa"/>
        </w:tblCellMar>
      </w:tblPr>
      <w:tblGrid>
        <w:gridCol w:w="364"/>
        <w:gridCol w:w="892"/>
        <w:gridCol w:w="1132"/>
        <w:gridCol w:w="883"/>
        <w:gridCol w:w="897"/>
        <w:gridCol w:w="783"/>
        <w:gridCol w:w="902"/>
        <w:gridCol w:w="1815"/>
        <w:gridCol w:w="897"/>
        <w:gridCol w:w="711"/>
        <w:gridCol w:w="678"/>
        <w:gridCol w:w="3299"/>
        <w:gridCol w:w="584"/>
      </w:tblGrid>
      <w:tr>
        <w:tblPrEx>
          <w:tblCellMar>
            <w:top w:w="0" w:type="dxa"/>
            <w:left w:w="15" w:type="dxa"/>
            <w:bottom w:w="0" w:type="dxa"/>
            <w:right w:w="15" w:type="dxa"/>
          </w:tblCellMar>
        </w:tblPrEx>
        <w:trPr>
          <w:trHeight w:val="155" w:hRule="atLeast"/>
          <w:tblHeader/>
          <w:jc w:val="center"/>
        </w:trPr>
        <w:tc>
          <w:tcPr>
            <w:tcW w:w="13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序号</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中介服务事项名称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对应行政审批事项名称</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对应行政审批事项编码</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行政审批事项类型</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中介服务层级</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对应行政审批实施机关</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实施要求</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提供中介服务的</w:t>
            </w:r>
          </w:p>
          <w:p>
            <w:pPr>
              <w:widowControl/>
              <w:spacing w:line="240" w:lineRule="exact"/>
              <w:jc w:val="center"/>
              <w:rPr>
                <w:rFonts w:eastAsia="黑体"/>
                <w:bCs/>
                <w:color w:val="000000"/>
                <w:kern w:val="0"/>
                <w:szCs w:val="21"/>
              </w:rPr>
            </w:pPr>
            <w:r>
              <w:rPr>
                <w:rFonts w:eastAsia="黑体"/>
                <w:bCs/>
                <w:color w:val="000000"/>
                <w:kern w:val="0"/>
                <w:szCs w:val="21"/>
              </w:rPr>
              <w:t>机构</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中介服务事项的收费性质</w:t>
            </w:r>
          </w:p>
        </w:tc>
        <w:tc>
          <w:tcPr>
            <w:tcW w:w="24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中介机构提供的服务类型</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设置中介服务事项的依据</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黑体"/>
                <w:bCs/>
                <w:color w:val="000000"/>
                <w:kern w:val="0"/>
                <w:szCs w:val="21"/>
              </w:rPr>
            </w:pPr>
            <w:r>
              <w:rPr>
                <w:rFonts w:eastAsia="黑体"/>
                <w:bCs/>
                <w:color w:val="000000"/>
                <w:kern w:val="0"/>
                <w:szCs w:val="21"/>
              </w:rPr>
              <w:t>备注</w:t>
            </w:r>
          </w:p>
        </w:tc>
      </w:tr>
      <w:tr>
        <w:tblPrEx>
          <w:tblCellMar>
            <w:top w:w="0" w:type="dxa"/>
            <w:left w:w="15" w:type="dxa"/>
            <w:bottom w:w="0" w:type="dxa"/>
            <w:right w:w="15" w:type="dxa"/>
          </w:tblCellMar>
        </w:tblPrEx>
        <w:trPr>
          <w:trHeight w:val="567" w:hRule="atLeast"/>
          <w:jc w:val="center"/>
        </w:trPr>
        <w:tc>
          <w:tcPr>
            <w:tcW w:w="131" w:type="pct"/>
            <w:vMerge w:val="restar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1</w:t>
            </w: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项目申请 报告编制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其他内河航 运项目</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00010410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1056</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省级、市级县 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《企业投资项目核准和备案管理条 例》《国务院关于发布政府核准的投 资项目目录（2016 年本）的通知》 （国发〔2016〕72 号）。 跨省（区、 市）高等级航道的千吨级及以上航电 枢纽项目由省级政府按国家批准的相关规划核准，其余项目由地方政府核准。</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r>
      <w:tr>
        <w:tblPrEx>
          <w:tblCellMar>
            <w:top w:w="0" w:type="dxa"/>
            <w:left w:w="15" w:type="dxa"/>
            <w:bottom w:w="0" w:type="dxa"/>
            <w:right w:w="15" w:type="dxa"/>
          </w:tblCellMar>
        </w:tblPrEx>
        <w:trPr>
          <w:trHeight w:val="493" w:hRule="atLeast"/>
          <w:jc w:val="center"/>
        </w:trPr>
        <w:tc>
          <w:tcPr>
            <w:tcW w:w="131" w:type="pct"/>
            <w:vMerge w:val="continue"/>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公路项目核 准：其他公 路项目</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00010410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1068</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省级、市级县 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default" w:ascii="Times New Roman" w:hAnsi="Times New Roman" w:eastAsia="宋体" w:cs="Times New Roman"/>
                <w:snapToGrid/>
                <w:color w:val="000000"/>
                <w:kern w:val="0"/>
                <w:szCs w:val="21"/>
                <w:lang w:val="en-US" w:eastAsia="zh-CN"/>
              </w:rPr>
              <w:t>根据《企业投资项目核准和备案管理  条例》《国务院关于发布政府核准的  投资项目目录（2016 年本）的通知》 （国发〔2016〕72 号）， “ 公路：国家高速公路网和普通国道网项目由省级政府按照国家批准的相关规划核准，地方高速公路项目由省级政府核准，其余项目由地方政府核准。 ”</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r>
      <w:tr>
        <w:tblPrEx>
          <w:tblCellMar>
            <w:top w:w="0" w:type="dxa"/>
            <w:left w:w="15" w:type="dxa"/>
            <w:bottom w:w="0" w:type="dxa"/>
            <w:right w:w="15" w:type="dxa"/>
          </w:tblCellMar>
        </w:tblPrEx>
        <w:trPr>
          <w:trHeight w:val="567" w:hRule="atLeast"/>
          <w:jc w:val="center"/>
        </w:trPr>
        <w:tc>
          <w:tcPr>
            <w:tcW w:w="131" w:type="pct"/>
            <w:vMerge w:val="restar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2</w:t>
            </w: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项目评估</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政府投资项 目建议书审 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43100412 9W00（主 项：权限 内政府投</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资项目审 批）</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市级、县 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审批部门委托符合 条件的中介机构实施。</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经营服 务性收 费（政 府定 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《湖南省发展和改革委员会职能配  置、内设机构和人员编制规定》（湘政办发〔2004〕第 31 号）全文。《中共中央国务院关于深化投融资体制改革的意见》（中发〔2016〕18 号）全文。</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1847" w:hRule="atLeast"/>
          <w:jc w:val="center"/>
        </w:trPr>
        <w:tc>
          <w:tcPr>
            <w:tcW w:w="131" w:type="pct"/>
            <w:vMerge w:val="continue"/>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政府投资项 目可行性研 究报告审批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43100412 9W00（主 项：权限 内政府投</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资项目审 批）</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市级、县 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审批部门委托符合条件的中介机构实施。</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经营服 务性收 费（政 府定 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《湖南省发展和改革委员会职能配  置、内设机构和人员编制规定》（湘政办发〔2004〕第 31 号）全文。《中共中央国务院关于深化投融资体制改革的意见》 （中发〔2016〕18 号）全文。</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r>
      <w:tr>
        <w:tblPrEx>
          <w:tblCellMar>
            <w:top w:w="0" w:type="dxa"/>
            <w:left w:w="15" w:type="dxa"/>
            <w:bottom w:w="0" w:type="dxa"/>
            <w:right w:w="15" w:type="dxa"/>
          </w:tblCellMar>
        </w:tblPrEx>
        <w:trPr>
          <w:trHeight w:val="392"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3</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政府投资</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项目可行</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性研究报</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告编制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政府投资项 目可行性研 究报告审批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43100412 9W00（主 项：权限 内政府投</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资项目审 批）</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省级、市级县 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《湖南省发展和改革委员会职能配  置、内设机构和人员编制规定》（湘政办发〔2004〕第 31 号）全文。《中共中央国务院关于深化投融资体制改革的意见》 （中发〔2016〕18 号）全文。</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90"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4</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政府投资 项目概算 编制</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政府投资项 目初步设计 概算审批</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43100411 0W00（主 项：权限 内政府投 资项目概 算审查）</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省级、市级县 级</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eastAsia="zh-CN"/>
              </w:rPr>
            </w:pPr>
            <w:r>
              <w:rPr>
                <w:color w:val="000000"/>
                <w:kern w:val="0"/>
                <w:szCs w:val="21"/>
              </w:rPr>
              <w:t>1. 《中央预算内直接投资项目管理办法》（国家发改委2014年第7号令）第二十一条 对于国家发展改革委审批项目建议书、可行性研究报告的项目，其初步设计经中央有关部门审核后，由国家发展改革委审批或者经国家发展改革委核定投资概算后由中央有关部门审批。经批准的初步设计及投资概算应当作为项目建设实施和控制投资的依据。</w:t>
            </w:r>
            <w:r>
              <w:rPr>
                <w:color w:val="000000"/>
                <w:kern w:val="0"/>
                <w:szCs w:val="21"/>
              </w:rPr>
              <w:br w:type="textWrapping"/>
            </w:r>
            <w:r>
              <w:rPr>
                <w:color w:val="000000"/>
                <w:kern w:val="0"/>
                <w:szCs w:val="21"/>
              </w:rPr>
              <w:t>2.《湖南省人民政府办公厅关于印发湖南省发展和改革委员会主要职责内设机构和人员编制规定的通知》（湘政办发〔2014〕104号）第三大点第（六）条 固定资产投资处 ：牵头负责省本级预算内投资项目和受国家委托对中央在湘投资项目的概算审查。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156"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5</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政府投资 项目概算 评审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政府投资项 目初步设计 概算审批</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43100411 0W00（主 项：权限 内政府投 资项目概 算审查）</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市级、县 级</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eastAsia="zh-CN"/>
              </w:rPr>
            </w:pPr>
            <w:r>
              <w:rPr>
                <w:color w:val="000000"/>
                <w:kern w:val="0"/>
                <w:szCs w:val="21"/>
              </w:rPr>
              <w:t>1. 《中央预算内直接投资项目管理办法》（国家发改委2014年第7号令）第二十一条 对于国家发展改革委审批项目建议书、可行性研究报告的项目，其初步设计经中央有关部门审核后，由国家发展改革委审批或者经国家发展改革委核定投资概算后由中央有关部门审批。经批准的初步设计及投资概算应当作为项目建设实施和控制投资的依据。</w:t>
            </w:r>
            <w:r>
              <w:rPr>
                <w:color w:val="000000"/>
                <w:kern w:val="0"/>
                <w:szCs w:val="21"/>
              </w:rPr>
              <w:br w:type="textWrapping"/>
            </w:r>
            <w:r>
              <w:rPr>
                <w:color w:val="000000"/>
                <w:kern w:val="0"/>
                <w:szCs w:val="21"/>
              </w:rPr>
              <w:t>2.《湖南省人民政府办公厅关于印发湖南省发展和改革委员会主要职责内设机构和人员编制规定的通知》（湘政办发〔2014〕104号）第三大点第（六）条 固定资产投资处：牵头负责省本级预算内投资项目和受国家委托对中央在湘投资项目的概算审查。</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32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6</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项目建议</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书编制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权限内政府 投资项目审 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43100412</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9W00</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（主项： 权限内权 限内政府 投资项目</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审批）</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省级、市级县 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发改局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委托具有 相应资质 的工程咨 询机构、 勘察设计 机构等。</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r>
              <w:rPr>
                <w:rFonts w:hint="eastAsia" w:ascii="Times New Roman" w:hAnsi="Times New Roman" w:eastAsia="宋体" w:cs="Times New Roman"/>
                <w:snapToGrid/>
                <w:color w:val="000000"/>
                <w:kern w:val="0"/>
                <w:szCs w:val="21"/>
                <w:lang w:val="en-US" w:eastAsia="zh-CN"/>
              </w:rPr>
              <w:t>《湖南省发展和改革委员会职能配  置、内设机构和人员编制规定》（湘政办发〔2004〕第 31 号）全文。《中 共中央国务院关于深化投融资体制改革的意见》（中发〔2016〕18 号）全文。</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r>
      <w:tr>
        <w:tblPrEx>
          <w:tblCellMar>
            <w:top w:w="0" w:type="dxa"/>
            <w:left w:w="15" w:type="dxa"/>
            <w:bottom w:w="0" w:type="dxa"/>
            <w:right w:w="15" w:type="dxa"/>
          </w:tblCellMar>
        </w:tblPrEx>
        <w:trPr>
          <w:trHeight w:val="222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7</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安全评估</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举办Ⅲ级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（含）以下 大型焰火燃 放活动许可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00010912</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2002</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公安局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有资质的 评估机构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安全评 价服务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 w:val="21"/>
                <w:szCs w:val="21"/>
                <w:lang w:val="en-US" w:eastAsia="zh-CN" w:bidi="ar-SA"/>
              </w:rPr>
            </w:pPr>
            <w:r>
              <w:rPr>
                <w:rFonts w:hint="eastAsia" w:ascii="Times New Roman" w:hAnsi="Times New Roman" w:eastAsia="宋体" w:cs="Times New Roman"/>
                <w:snapToGrid/>
                <w:color w:val="000000"/>
                <w:kern w:val="0"/>
                <w:szCs w:val="21"/>
                <w:lang w:val="en-US" w:eastAsia="zh-CN"/>
              </w:rPr>
              <w:t>《烟花爆竹安全管理条例》第三条： 国家对烟花爆竹的生产、经营、运输和举办焰火晚会以及其他大型焰火燃放活动，实行许可证制度。未经许可，任何单位或者个人不得生产、经营、运输烟花爆竹，不得举办焰火晚会以及其他大型焰火燃放活动。第三十三条：申请举办焰火晚会以及其他大型焰火燃放活动，主办单位应当按照分级管理的规定，向有关人民政府公安部门提出申请……《公安部办公厅关于贯彻执行〈大型焰火燃放作业  人员资格条件及管理〉和〈大型焰火燃放作业单位资质条件及管理〉有关事项的通知》（公治〔2010〕592 号） 规定：在《大型焰火燃放活动分级管理办法》实施前 ，…… 申请举办Ⅲ级以下（含Ⅲ级）大型焰火燃放活动的， 暂由举办地县级公安机关受理、审批。《大型焰火燃放活动分级管理办法》实施后，按照新办法规定执行。</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eastAsia="zh-CN"/>
              </w:rPr>
            </w:pPr>
          </w:p>
        </w:tc>
      </w:tr>
      <w:tr>
        <w:tblPrEx>
          <w:tblCellMar>
            <w:top w:w="0" w:type="dxa"/>
            <w:left w:w="15" w:type="dxa"/>
            <w:bottom w:w="0" w:type="dxa"/>
            <w:right w:w="15" w:type="dxa"/>
          </w:tblCellMar>
        </w:tblPrEx>
        <w:trPr>
          <w:trHeight w:val="2441" w:hRule="atLeast"/>
          <w:jc w:val="center"/>
        </w:trPr>
        <w:tc>
          <w:tcPr>
            <w:tcW w:w="131"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8</w:t>
            </w:r>
          </w:p>
        </w:tc>
        <w:tc>
          <w:tcPr>
            <w:tcW w:w="322"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法定代表人离任审计和社会团体注销清算审计</w:t>
            </w:r>
          </w:p>
        </w:tc>
        <w:tc>
          <w:tcPr>
            <w:tcW w:w="409"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社会团体成 立、变更、 注销登记及 修改章程核 准（县级权 限）</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00011110</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1004</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民政局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审批部门委托符合 条件的中介机构实 施。</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注册会计 师事务所 （登记管</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理机关委 托）</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经营服 务性收 费（政 府定 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会计事 务服务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【法律】 《中华人民共和国慈善法》 第十条：设立慈善组织，应当向县级  以上人民政府民政部门申请登记，民政部门应当自受理申请之日起三十日内作出决定。符合本法规定条件的，准予登记并向社会公告；不符合本法规定条件的，不予登记并书面说明理由。</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en-US"/>
              </w:rPr>
            </w:pPr>
          </w:p>
        </w:tc>
      </w:tr>
      <w:tr>
        <w:tblPrEx>
          <w:tblCellMar>
            <w:top w:w="0" w:type="dxa"/>
            <w:left w:w="15" w:type="dxa"/>
            <w:bottom w:w="0" w:type="dxa"/>
            <w:right w:w="15" w:type="dxa"/>
          </w:tblCellMar>
        </w:tblPrEx>
        <w:trPr>
          <w:trHeight w:val="2441" w:hRule="atLeast"/>
          <w:jc w:val="center"/>
        </w:trPr>
        <w:tc>
          <w:tcPr>
            <w:tcW w:w="131"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9</w:t>
            </w:r>
          </w:p>
        </w:tc>
        <w:tc>
          <w:tcPr>
            <w:tcW w:w="322"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修建性详 细规划及 建设工程 设计方案 涉及的日 照分析、 交通影响 评价、经 济技术指 标复核等 技术审查</w:t>
            </w:r>
          </w:p>
        </w:tc>
        <w:tc>
          <w:tcPr>
            <w:tcW w:w="409"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建设工程、 临时建设工 程规划许可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00011513</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300Y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自然资源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审批部门委托符合条件的中介机构实施。</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具有相应</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规划资质</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的机构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费（政 府定 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《中华人民共和国城乡规划法》 （2007 年 10 月 28  日第十届全国人民代表大会常务委员会第三十次会议通过根据 2015 年4 月 24 日第十二届全国人民代表大会常务委员会第十四次会议《关于修改〈中华人民共和国港口法〉等七部法律的决定》修正）第四十条建设项目规划审批机关在实施建设项目规划管理时，可以委托具有相应资质的城乡规划编制单位、建设工程勘察单位、建设工程设计单位等提供技术审查服务，其提出的审查意见应当作为建设项目规划管理的依据。城乡规划编制单位应当依据国家和省有关技术标准和规范计算规划技术经济指标，并对指标的合法性、真实性、准确性负责。《中华人民共和国道路交通安全法实施条例》（2004 年 4 月 30  日国务院令第 405 号 根据 2017 年 10 月 7  日国务院令第 687 号《国务院关于修改部分行政法规的决定》修正）第三条县级以上地方各级人民政府应当建立、健全道路交通安全工作协调机制，组织有关部门对城市建设项目进行交通影响评价，制定道路交通安全管理规划，确定管理目标，制定实施方案。《城市规划编制办法》（建设部令第 146 号）第四十三条 修建性详细规划应当包括下列内容：（四）根据交通影响分析，提出交通组织方案和设计。《湖南省实施&lt; 中华人民共和国城乡规划法&gt;办法》（2015 年 12 月 4  日湖南省第十二届人民代表大会常务委员会第十九次会议通过）第四十条 第一款 建设项目规划审批机关在实施建设项目规划管理时，可以委托具有相应资质的城乡规划编制单位、建设工程勘察单位、建设工程设计单位等提供技术审查服务，其提出的审查意见应当作为建设项目规划管理的依据。</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en-US"/>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1163" w:hRule="atLeast"/>
          <w:jc w:val="center"/>
        </w:trPr>
        <w:tc>
          <w:tcPr>
            <w:tcW w:w="131" w:type="pct"/>
            <w:tcBorders>
              <w:top w:val="single" w:color="auto"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10</w:t>
            </w:r>
          </w:p>
        </w:tc>
        <w:tc>
          <w:tcPr>
            <w:tcW w:w="322" w:type="pct"/>
            <w:tcBorders>
              <w:top w:val="single" w:color="auto"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修建性详</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细规划及</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建设工程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设计方案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编制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建设工程、 临时建设工 程规划许可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00011513</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300Y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自然资源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法资质的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《湖南省实施&lt; 中华人民共和国城乡规划法&gt;办法》 （2015年12月4  日</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湖南省第十二届人民代表大会常务委员会第十九次会议通过） 第二十六条 在国有土地上进行建设活动 的建设单位或者个人，应当取得城 市、县人民政府城乡规划主管部门核发的建设工程规划许可证。建设工程规划许可证应当载明建设项目位置、建设规模和使用功能等内容，并附经审定的建设工程设计方案的总平面图。建设单位或者个人申请办理建设工程规划许可证，应当持项目批准（核准、备案）文件、使用土地的有关证明文件，以及经审定的建设工程设计方案等材料，向城乡规划主管部门提出申请。需要编制修建性详细规划的，还应当提交修建性详细规划。受理申请的机关对符合控制性详细规划和建设用地规划条件的，核发建设工程规划许可证。</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3122" w:hRule="atLeast"/>
          <w:jc w:val="center"/>
        </w:trPr>
        <w:tc>
          <w:tcPr>
            <w:tcW w:w="131" w:type="pct"/>
            <w:vMerge w:val="restar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11</w:t>
            </w: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多测合 一”综合 测绘报告</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建设用地、 临时建设用 地规划许可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00011513</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自然资源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法资质的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测绘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《中华人民共和国城乡规划法》</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vMerge w:val="continue"/>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应建防空地 下室的民用 建筑项目报 建审批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00018010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自然资源</w:t>
            </w:r>
            <w:r>
              <w:rPr>
                <w:rFonts w:hint="eastAsia" w:ascii="Times New Roman" w:hAnsi="Times New Roman" w:eastAsia="宋体" w:cs="Times New Roman"/>
                <w:snapToGrid/>
                <w:color w:val="000000"/>
                <w:kern w:val="0"/>
                <w:szCs w:val="21"/>
                <w:lang w:val="en-US" w:eastAsia="zh-CN"/>
              </w:rPr>
              <w:t>局、 发改局（人防）</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法资质的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测绘</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《中华人民共和国城乡规划法》（中 华人民共和国主席令第七十四号）第 四十五条：县级以上地方人民政府城 乡规划主管部门按照国务院规定对 建设工程是否符合规划条件予以核 实。未经核实或者经核实不符合规划 条件的，建设单位不得组织竣工验收。建设单位应当在竣工验收后六个月内向城乡规划主管部门报送有关竣工验收资料。</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12</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不动产测 绘（地籍 测绘、房 产测绘）</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不动产登记</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00071500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行政确认</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自然资源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申请人委托符合条 件的中介机构实施。</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符合条件</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的测绘机</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测绘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【法律】  《中华人民共和国物权法》  第九条不动产物权的设立、变更、转让 和消灭，经依法登记，发生效力；未经 登记，不发生效力，但法律另有规定的 除外。依法属于国家所有的自然资源， 所有权可以不登记。第十条不动产登记， 由不动产所在地的登记机构办理。国家 对不动产实行统一登记制度。统一登记 的范围、登记机构和登记办法，由法律、 行政法规规定。</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【行政法规】 《不动产登记暂行条例》（国务院令第 656 号）第六条国务院国土资源主管部门负责指导、监督全国不动产登记工作。县级以上地方人民政府应当确定一个部门为本行政区域的不动产登记机构，负责不动产登记工作，并受上级人民政府不动产登记主管部门的指导、监督。第七条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 由所跨县级行政区域的不动产登记机构协商办理；协商不成的， 由共同的上一级人民政府不动产登记主管部门指定办理。国务院确定的重点国有林区的森林、林木和林地，国务院批准项目用海、用岛，中央国家机关使用的国  有土地等不动产登记，由国务院国土资  源主管部门会同有关部门规定。</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【规章】  《不动产登记暂行条例实施 细则》（国土资源部令 63 号）</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13</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建设项目环境影响报告书（表）编制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一般建设项 目环境影响 评价审批</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（县级权</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限）</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00011610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1004</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生态环境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环境影响</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评价技术</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单位</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环境影</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响评价</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技术服</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1.《中华人民共和国环境保护法》第 十九条： 编制有关开发利用规划，建 设对环境有影响的项目，应当依法进 行环境影响评价。未依法进行环境影 响评价的开发利用规划，不得组织实 施；未依法进行环境影响评价的建设 项目，不得开工建设。</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 《中华人民共和国环境影响评价 法》第三条：编制本法第九条所规定 的范围内的规划，在中华人民共和国 领域和中华人民共和国管辖的其他海域内建设对环境有影响的项目，应当依照本法进行环境影响评价。第二十二条：建设项目的环境影响报告书、报告表，由建设单位按照国务院的规定报有审批权的生态环境主管部门审批。第二十三条：国务院生态环境主管部门负责审批下列建设项目的环境影响评价文件：（一）核设施、绝密工程等特殊性质的建设项目；（二）跨省、自治区、直辖市行政区域的建设项目；（三）由国务院审批的或者由国务院授权有关部门审批的建设项目。前款规定以外的建设项目的环境影响评价文件的审批权限，由省、自治区、直辖市人民政 府规定。建设项目可能造成跨行政区域的不良环境影响，有关生态环境主管部门对该项目的环境影响评价结</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论有争议的，其环境影响评价文件由 共同的上一级生态环境主管部门审 批。3.《中华人民共和国水污染防治法》 第十九条： 新建、改建、扩建直接或者间接向水体排放污染物的建设项目和其他水上设施，应当依法进行环 境影响评价。4. 《中华人民共和国大气污染防治 法》第十八条：企业事业单位和其他生产经营者建设对大气环境有影响的项目，应当依法进行环境影响评 价、公开环境影响评价文件；向大气 排放污染物的，应当符合大气污染物 排放标准，遵守重点大气污染物排放 总量控制要求。5. 《中华人民共和国土壤污染防治 法》第十八条：各类涉及土地利用的 规划和可能造成土壤污染的建设项 目，应当依法进行环境影响评价。环 境影响评价文件应当包括对土壤可 能造成的不良影响及应当采取的相 应预防措施等内容。6.《中华人民共和国固体废物污染环 境防治法》第十七条：建设产生、贮 存、利用、处置固体废物的项目，应当依法进行环境影响评价，并遵守国家有关建设项目环境保护管理的规定。 7. 《中华人民共和国噪声污染防治法》第二十四条： 新建、改建、扩建 可能产生噪声污染的建设项目，应当 依法进行环境影响评价。</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8.《建设项目环境保护管理条例》第  六条：国家实行建设项目环境影响评  价制度。第九条：依法应当编制环境  影响报告书、环境影响报告表的建设  项目，建设单位应当在开工建设前将  环境影响报告书、环境影响报告表报  有审批权的环境保护行政主管部门  审批；建设项目的环境影响评价文件  未依法经审批部门审查或者审查后  未予批准的，建设单位不得开工建  设。第十条：国务院环境保护行政主  管部门负责审批下列建设项目环境  影响报告书、环境影响报告表：（一）核设施、绝密工程等特殊性质的建设项目；（二）跨省、自治区、直辖市行政区域的建设项目；（三）国务院审批的或者国务院授权有关部门审批的建设项目。前款规定以外的建设项目环境影响报告书、环境影响报告表的审批权限，由省、自治区、直辖市人民政府规定。建设项目造成跨行政区域环境影响，有关环境保护行政主管部门对环境影响评价结论有争议的，其环境影响报告书或者环境影响报告表由共同上一级环境保护行政主管部门审批。</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仿宋_GB2312" w:cs="Times New Roman"/>
                <w:i w:val="0"/>
                <w:snapToGrid/>
                <w:color w:val="auto"/>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14</w:t>
            </w:r>
          </w:p>
        </w:tc>
        <w:tc>
          <w:tcPr>
            <w:tcW w:w="322"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入河排污 口设置论 证报告</w:t>
            </w:r>
          </w:p>
        </w:tc>
        <w:tc>
          <w:tcPr>
            <w:tcW w:w="409"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江河、 湖泊 新建、改建 或者扩大排 污口审批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00011610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600Y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生态环境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无资质要求</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《入河排污口监督管理办法》（2004  年 11 月30 日水利部令第 22 号公布，自2005 1月1 日起施行，2015 年12月16 日水利部令第 47 号修改） 第十条排污单位应当按照有关技术 要求，自行或者委托有关单位编制入河排污口设置论证报告。</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15</w:t>
            </w:r>
          </w:p>
        </w:tc>
        <w:tc>
          <w:tcPr>
            <w:tcW w:w="322"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施工图设 计文件审查（含消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防、人防 等）</w:t>
            </w:r>
          </w:p>
        </w:tc>
        <w:tc>
          <w:tcPr>
            <w:tcW w:w="409" w:type="pc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房屋建筑和市政基础设施工程施工图设计文件 审查情况备 案</w:t>
            </w:r>
          </w:p>
        </w:tc>
        <w:tc>
          <w:tcPr>
            <w:tcW w:w="319" w:type="pct"/>
            <w:tcBorders>
              <w:top w:val="single" w:color="000000" w:sz="4" w:space="0"/>
              <w:left w:val="single" w:color="auto"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001017007000(主项：施工 图审查情 况备案)</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住</w:t>
            </w:r>
            <w:r>
              <w:rPr>
                <w:rFonts w:hint="eastAsia" w:ascii="Times New Roman" w:hAnsi="Times New Roman" w:eastAsia="宋体" w:cs="Times New Roman"/>
                <w:snapToGrid/>
                <w:color w:val="000000"/>
                <w:kern w:val="0"/>
                <w:szCs w:val="21"/>
                <w:lang w:val="en-US" w:eastAsia="zh-CN"/>
              </w:rPr>
              <w:t>建局、</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发改局（人防）</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具有相关</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施工图审</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查资格且</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具备独立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法人资格</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的审查机构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施工图 设计文 件审查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《房屋建筑和市政基础设施工程施 工图设计文件审查管理办法》（住房 城乡建设部令 13 号）第十三条： 审 查机构应当在出具审查合格书后5个工作日内，将审查情况报工程所在地县级以上地方人民政府住房城乡建设主管部门备案。</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仿宋_GB2312" w:cs="Times New Roman"/>
                <w:i w:val="0"/>
                <w:snapToGrid/>
                <w:color w:val="auto"/>
                <w:kern w:val="0"/>
                <w:sz w:val="21"/>
                <w:szCs w:val="21"/>
                <w:u w:val="none"/>
                <w:lang w:val="en-US" w:eastAsia="zh-CN" w:bidi="ar"/>
              </w:rPr>
            </w:pPr>
          </w:p>
        </w:tc>
        <w:tc>
          <w:tcPr>
            <w:tcW w:w="322" w:type="pct"/>
            <w:vMerge w:val="continue"/>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i w:val="0"/>
                <w:snapToGrid/>
                <w:color w:val="auto"/>
                <w:kern w:val="0"/>
                <w:sz w:val="21"/>
                <w:szCs w:val="21"/>
                <w:u w:val="none"/>
                <w:lang w:val="en-US" w:eastAsia="zh-CN" w:bidi="ar"/>
              </w:rPr>
            </w:pPr>
          </w:p>
        </w:tc>
        <w:tc>
          <w:tcPr>
            <w:tcW w:w="409" w:type="pc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应建防空地 下室的民用 建筑项目报 建审批</w:t>
            </w:r>
          </w:p>
        </w:tc>
        <w:tc>
          <w:tcPr>
            <w:tcW w:w="319" w:type="pct"/>
            <w:tcBorders>
              <w:top w:val="single" w:color="000000" w:sz="4" w:space="0"/>
              <w:left w:val="single" w:color="auto"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00018010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住建局</w:t>
            </w:r>
            <w:r>
              <w:rPr>
                <w:rFonts w:hint="default" w:ascii="Times New Roman" w:hAnsi="Times New Roman" w:eastAsia="宋体" w:cs="Times New Roman"/>
                <w:snapToGrid/>
                <w:color w:val="000000"/>
                <w:kern w:val="0"/>
                <w:szCs w:val="21"/>
                <w:lang w:val="en-US" w:eastAsia="zh-CN"/>
              </w:rPr>
              <w:t xml:space="preserve"> </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具有相关</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施工图审</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查资格且</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具备独立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法人资格</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的审查机</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施工图 设计文 件审查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《中华人民共和国建筑法》《建筑工</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程施工许可管理办法》（住房城乡建 设部令第 18 号公布，住房城乡建设</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部令第 52 号修正）</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vMerge w:val="continue"/>
            <w:tcBorders>
              <w:top w:val="single" w:color="auto" w:sz="4" w:space="0"/>
              <w:left w:val="single" w:color="auto" w:sz="4" w:space="0"/>
              <w:bottom w:val="single" w:color="000000" w:sz="4" w:space="0"/>
              <w:right w:val="single" w:color="auto"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2" w:type="pct"/>
            <w:vMerge w:val="continue"/>
            <w:tcBorders>
              <w:top w:val="single" w:color="auto" w:sz="4" w:space="0"/>
              <w:left w:val="single" w:color="auto" w:sz="4" w:space="0"/>
              <w:bottom w:val="single" w:color="000000"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409" w:type="pct"/>
            <w:tcBorders>
              <w:top w:val="single" w:color="auto"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建设工程消 防设计审查</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00011713</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600Y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住</w:t>
            </w:r>
            <w:r>
              <w:rPr>
                <w:rFonts w:hint="eastAsia" w:ascii="Times New Roman" w:hAnsi="Times New Roman" w:eastAsia="宋体" w:cs="Times New Roman"/>
                <w:snapToGrid/>
                <w:color w:val="000000"/>
                <w:kern w:val="0"/>
                <w:szCs w:val="21"/>
                <w:lang w:val="en-US" w:eastAsia="zh-CN"/>
              </w:rPr>
              <w:t>建局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具有相关</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施工图审</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查资格且</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具备独立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法人资格</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的审查机</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施工图 设计文 件审查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《中华人民共和国消防法》《建设工 程消防设计审查验收管理暂行规定》 （住房城乡建设部令第 51 号）</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ind w:left="23"/>
              <w:rPr>
                <w:rFonts w:hint="default" w:ascii="Times New Roman" w:hAnsi="Times New Roman" w:eastAsia="仿宋_GB2312" w:cs="Times New Roman"/>
                <w:i w:val="0"/>
                <w:snapToGrid/>
                <w:color w:val="auto"/>
                <w:kern w:val="0"/>
                <w:sz w:val="21"/>
                <w:szCs w:val="21"/>
                <w:u w:val="none"/>
                <w:lang w:val="en-US" w:eastAsia="zh-CN" w:bidi="ar"/>
              </w:rPr>
            </w:pPr>
          </w:p>
          <w:p>
            <w:pPr>
              <w:pStyle w:val="12"/>
              <w:spacing w:before="68" w:line="220" w:lineRule="auto"/>
              <w:jc w:val="center"/>
              <w:rPr>
                <w:rFonts w:hint="eastAsia" w:ascii="Times New Roman" w:hAnsi="Times New Roman" w:eastAsia="仿宋_GB2312" w:cs="Times New Roman"/>
                <w:i w:val="0"/>
                <w:snapToGrid/>
                <w:color w:val="auto"/>
                <w:kern w:val="0"/>
                <w:sz w:val="21"/>
                <w:szCs w:val="21"/>
                <w:u w:val="none"/>
                <w:lang w:val="en-US" w:eastAsia="zh-CN" w:bidi="ar"/>
              </w:rPr>
            </w:pPr>
            <w:r>
              <w:rPr>
                <w:rFonts w:hint="eastAsia" w:ascii="Times New Roman" w:hAnsi="Times New Roman" w:eastAsia="仿宋_GB2312" w:cs="Times New Roman"/>
                <w:i w:val="0"/>
                <w:snapToGrid/>
                <w:color w:val="auto"/>
                <w:kern w:val="0"/>
                <w:sz w:val="21"/>
                <w:szCs w:val="21"/>
                <w:u w:val="none"/>
                <w:lang w:val="en-US" w:eastAsia="zh-CN" w:bidi="ar"/>
              </w:rPr>
              <w:t>16</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造价咨询</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最高投标限 价（招标控 制价） 及其 成果文件备 案</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43101736</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9W00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住建</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工程造价 咨询公司</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1.《湖南省建设工程造价管理办法》 （湖南省政府令第 192 号） 第十三 条  发包人和承包人应当依法签订 书面的《建设工程施工合同》，并不 得在合同之外另行订立与合同内容 不一致的其他协议。全部使用国有资 金投资或者以国有资金投资为主的 建设项目，承包人应当在《建设工程 施工合同》签订之日起的 30 日内将 合同副本送相应工程造价管理机构 备案。</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2.《建筑工程施工发包与承包计价管 理办法》 （住房和城乡建设部第 16  号）第六条  全部使用国有资金投资 或者以国有资金投资为主的建筑工 程（以下简称国有资金投资的建筑工 程），应当采用工程量清单计价； 非 国有资金投资的建筑工程，鼓励采用 工程量清单计价。国有资金投资的建 筑工程招标的，应当设有最高投标限 价；非国有资金投资的建筑工程招标 的，可以设有最高投标限价或者招标 标底。最高投标限价及其成果文件， 应当由招标人报工程所在地县级以上地方人民政府住房城乡建设主管部门备案。</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17</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 附属绿化工程设计</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园林绿化工程（含工程建设项目附 属绿化工程）设计方 案审查</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43101700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1W00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其他行政权力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住建</w:t>
            </w:r>
            <w:r>
              <w:rPr>
                <w:rFonts w:hint="eastAsia" w:ascii="Times New Roman" w:hAnsi="Times New Roman" w:eastAsia="宋体" w:cs="Times New Roman"/>
                <w:snapToGrid/>
                <w:color w:val="000000"/>
                <w:kern w:val="0"/>
                <w:szCs w:val="21"/>
                <w:lang w:val="en-US" w:eastAsia="zh-CN"/>
              </w:rPr>
              <w:t>局、城管局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有工程设</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计、工程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咨询资质</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的机构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工程勘 察、工 程设计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《城市绿化条例》（国务院令〔2017〕 676 号）第十一条城市绿化工程的设计，应当委托持有相应资格证书的设计单位承担。工程建设项目的附属绿化工程设计方案，按照基本建设程序审批时，必须有城市人民政府城 市绿化行政主管部门参加审查。建设单位必须按照批准的设计方案进行施工。设计方案确需改变时，须经原批准机关审批。</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18</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公路大件 运输许可 技术审查 服务（桥</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梁检测、 验算）</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公路超限运 输许可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00011820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600Y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 xml:space="preserve"> </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审批部门委托符合 条件的中介机构实 施。</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法资质的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公路桥梁</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设计检测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经营服务性收 费（政 府定 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19</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涉路施工 审批咨询</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涉路施工许 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00011820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700Y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审批部门委托符合 条件的中介机构实 施。</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 法资质的 公路工程 设计或公 路工程咨 询机构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费（政 府定 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《中华人民共和国公路法》《公路安 全保护条例》《路政管理规定》（交 通部令2003 年第 2 号公布，交通运 输部令2016 年第 81 号修正）</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20</w:t>
            </w:r>
          </w:p>
        </w:tc>
        <w:tc>
          <w:tcPr>
            <w:tcW w:w="322"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出具道路</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运输车辆</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卫星定位</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系统监控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平台标准</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符合性技</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术审查检</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测报告</w:t>
            </w:r>
          </w:p>
        </w:tc>
        <w:tc>
          <w:tcPr>
            <w:tcW w:w="409"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道路运输企 业新建、变 更卫星定位 监控平台以 及提供道路 运输车辆动 态监控社会 化服务的备 案</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43101808</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4W00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有关专业 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检验检 测服务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《道路运输车辆动态监督管理办法》 （交通运输部、公安部、安监总局令 2014 年第 5 号）第十条： “道路运输企业新建或者变更监控平台，在投入使用前应当通过有关专业机构的系统平台标准符合性技术审查，并向原发放《道路运输经营许可证》的道路 运输管理机构备案”。</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2</w:t>
            </w:r>
            <w:r>
              <w:rPr>
                <w:rFonts w:hint="eastAsia" w:ascii="Times New Roman" w:hAnsi="Times New Roman" w:eastAsia="宋体" w:cs="Times New Roman"/>
                <w:snapToGrid/>
                <w:color w:val="000000"/>
                <w:kern w:val="0"/>
                <w:szCs w:val="21"/>
                <w:lang w:val="en-US" w:eastAsia="zh-CN"/>
              </w:rPr>
              <w:t>1</w:t>
            </w:r>
          </w:p>
        </w:tc>
        <w:tc>
          <w:tcPr>
            <w:tcW w:w="322"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出具车辆</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技术等级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评定结论</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和客车类</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型等级评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定结果</w:t>
            </w:r>
          </w:p>
        </w:tc>
        <w:tc>
          <w:tcPr>
            <w:tcW w:w="409" w:type="pc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确认特定时段开行包车或者加班车资质</w:t>
            </w:r>
          </w:p>
        </w:tc>
        <w:tc>
          <w:tcPr>
            <w:tcW w:w="319" w:type="pct"/>
            <w:tcBorders>
              <w:top w:val="single" w:color="000000" w:sz="4" w:space="0"/>
              <w:left w:val="single" w:color="auto"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00071801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0000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行政确认</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ind w:firstLine="210" w:firstLineChars="100"/>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ind w:firstLine="210" w:firstLineChars="100"/>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机动车综 合性能检 测机构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检验检 测服务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《道路旅客运输及客运站管理规定》 第五十三条在春运、 旅游“ 黄金周”  或者发生突发事件等客流高峰期运 力不足时，道路运输管理机构可临时 调用车辆技术等级不低于三级的营 运客车和社会非营运客车开行包车 或者加班车。非营运客车凭县级以上 道路运输管理机构开具的证明运行。</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p>
        </w:tc>
      </w:tr>
      <w:tr>
        <w:tblPrEx>
          <w:tblCellMar>
            <w:top w:w="0" w:type="dxa"/>
            <w:left w:w="15" w:type="dxa"/>
            <w:bottom w:w="0" w:type="dxa"/>
            <w:right w:w="15" w:type="dxa"/>
          </w:tblCellMar>
        </w:tblPrEx>
        <w:trPr>
          <w:trHeight w:val="567" w:hRule="atLeast"/>
          <w:jc w:val="center"/>
        </w:trPr>
        <w:tc>
          <w:tcPr>
            <w:tcW w:w="131" w:type="pct"/>
            <w:vMerge w:val="continue"/>
            <w:tcBorders>
              <w:top w:val="single" w:color="auto" w:sz="4" w:space="0"/>
              <w:left w:val="single" w:color="auto"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2" w:type="pct"/>
            <w:vMerge w:val="continue"/>
            <w:tcBorders>
              <w:top w:val="single" w:color="auto"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409" w:type="pct"/>
            <w:tcBorders>
              <w:top w:val="single" w:color="auto"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道路运输营 运车辆年度 定期审验</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43071805</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0W00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行政确认</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 w:val="21"/>
                <w:szCs w:val="21"/>
                <w:lang w:val="en-US" w:eastAsia="zh-CN" w:bidi="ar-SA"/>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机动车综合性能检 测机构</w:t>
            </w:r>
          </w:p>
        </w:tc>
        <w:tc>
          <w:tcPr>
            <w:tcW w:w="256"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r>
              <w:rPr>
                <w:rFonts w:hint="default" w:ascii="Times New Roman" w:hAnsi="Times New Roman" w:eastAsia="宋体" w:cs="Times New Roman"/>
                <w:snapToGrid/>
                <w:color w:val="000000"/>
                <w:kern w:val="0"/>
                <w:szCs w:val="21"/>
                <w:lang w:val="en-US" w:eastAsia="zh-CN"/>
              </w:rPr>
              <w:t>检验检 测服务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《道路旅客运输及客运站管理规定》 （交通运输部令 2016 年第 82 号）第七十一条第一款：“ 县级以上道路运 输管理机构应当定期对客运车辆进行审验，每年审验一次。审验内容包 括：（一）车辆违章记录；（二）车辆技术等级评定情况；（三）客车类型等级评定情况；（四）按规定安装、使用符合标准的具有行驶记录功能的卫星定位装置情况；（五）客运经营者为客运车辆投保承运人责任险情况”。</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《道路货物运输及站场管理规定》 （交通运输部令 2016 年第 35 号）第 四十八条第一款：“ 县级以上道路运输管理机构应当定期对货运车辆进行审验，每年审验一次。审验内容包括车辆技术等级评定情况、车辆结构及尺寸变动情况和违章记录等”；《道路危险货物运输管理规定》（交 通运输部令 2016 年第 36 号）第二十 二条： “ 设区的市级道路运输管理机构应当定期对专用车辆进行审验，每年审验一次。审验按照《道路运输车辆技术管理规定》进行，并增加以下审验项目：（一）专用车辆投保危险货物承运人责任险情况；（二）必需的应急处理器材、安全防护设施设备和专用车辆标志的配备情况；（三） 具有行驶记录功能的卫星定位装置 的配备情况”。</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 w:val="21"/>
                <w:szCs w:val="21"/>
                <w:lang w:val="en-US" w:eastAsia="zh-CN" w:bidi="ar-SA"/>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22</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维修检测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设备及计</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量设备检</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定合格证</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明</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机动车维修 经营备案</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43101817</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0W00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其他行政 权力</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具备检测 资质</w:t>
            </w:r>
          </w:p>
        </w:tc>
        <w:tc>
          <w:tcPr>
            <w:tcW w:w="256"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维修检 测设备 及计量 设备检 定服务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《《中华人民共和国道路运输条例》》 （中华人民共和国国务院令〔2019〕第709 号）第三十九条申请从事道  路运输站（场）经营和机动车驾驶员  培训业务的，应当在依法向工商行政  管理机关办理有关登记手续后，向所  在地县级道路运输管理机构提出申请，并分别附送符合本条例第三十六  条、第三十八条规定条件的相关材  料。县级道路运输管理机构应当自受  理申请之日起 15 日内审查完毕，作  出许可或者不予许可的决定，并书面  通知申请人。从事机动车维修经营  业务的，应当在依法向工商行政管理  机关办理有关登记手续后，向所在地  县级道路运输管理机构进行备案，并  附送符合本条例第三十七条规定条  件的相关材料。《《机动车维修管理  规定》》（中华人民共和国交通运输  部令〔2019〕第 20 号）第七条 从  事机动车维修经营业务的，应当在依  法向市场监督管理机构办理有关登  记手续后，向所在地县级道路运输管  理机构进行备案。道路运输管理机构  应当按照《中华人民共和国道路运输  条例》和本规定实施机动车维修经营  备案。道路运输管理机构不得向机动  车维修经营者收取备案相关费用。 《《国务院关于取消一批行政许可等  事项的决定》》 （国发〔2018〕28 号）全文。</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23</w:t>
            </w:r>
          </w:p>
        </w:tc>
        <w:tc>
          <w:tcPr>
            <w:tcW w:w="322"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出具工程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质量检测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意见、鉴</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定报告</w:t>
            </w:r>
          </w:p>
        </w:tc>
        <w:tc>
          <w:tcPr>
            <w:tcW w:w="409"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公路、水运 工程交竣工 质量鉴定</w:t>
            </w:r>
          </w:p>
        </w:tc>
        <w:tc>
          <w:tcPr>
            <w:tcW w:w="319"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43071805</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1W00</w:t>
            </w:r>
          </w:p>
        </w:tc>
        <w:tc>
          <w:tcPr>
            <w:tcW w:w="324"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行政确认</w:t>
            </w:r>
          </w:p>
        </w:tc>
        <w:tc>
          <w:tcPr>
            <w:tcW w:w="282"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vMerge w:val="restart"/>
            <w:tcBorders>
              <w:top w:val="single" w:color="000000" w:sz="4" w:space="0"/>
              <w:left w:val="single" w:color="000000"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公路工程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试验检测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综合资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质、 桥梁</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隧道工程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专项资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质、 交通</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工程专项</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资质、 水</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运工程材</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料类资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质、 水运</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工程结构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类资质</w:t>
            </w:r>
          </w:p>
        </w:tc>
        <w:tc>
          <w:tcPr>
            <w:tcW w:w="256"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公路水 运工程 质量检 测服务</w:t>
            </w:r>
          </w:p>
        </w:tc>
        <w:tc>
          <w:tcPr>
            <w:tcW w:w="1192" w:type="pct"/>
            <w:vMerge w:val="restart"/>
            <w:tcBorders>
              <w:top w:val="single" w:color="000000" w:sz="4" w:space="0"/>
              <w:left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《公路水运工程质量监督管理规定》 （中华人民共和国交通运输部令 〔2017〕第 28 号）第二十五条  公 路水运工程交工验收前，建设单位应 当组织对工程质量是否合格进行检 测，出具交工验收质量检测报告，连 同设计单位出具的工程设计符合性 评价意见、监理单位提交的工程质量 评定或者评估报告一并提交交通运 输主管部门委托的建设工程质量监 督机构。交通运输主管部门委托的建工程质量监督机构应当对建设单位提交的报告材料进行审核，并对工程质量进行验证性检测，出具工程交工质量核验意见。工程交工质量核验意见应当包括交工验收质量检测工作组织、质量评定或者评估程序执行、监督管理过程中发现的质量问题 整改以及工程质量验证性检测结果 等情况。第二十六条 公路水运工程 竣工验收前，交通运输主管部门委托的建设工程质量监督机构应当根据交通运输主管部门拟定的验收工作 计划，组织对工程质量进行复测，并出具项目工程质量鉴定报告，明确工程质量水平；同时出具项目工程质量 监督管理工作报告，对项目建设期质 量监督管理工作进行全面总结。工程</w:t>
            </w: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质量鉴定报告应当以工程交工质量 核验意见为参考，包括交工遗留问题 和试运行期间出现的质量问题及整 改、是否存在影响工程正常使用的质 量缺陷、工程质量用户满意度调查及 工程质量复测和鉴定结论等情况。交 通运输主管部门委托的建设工程质 量监督机构应当将项目工程质量鉴 定报告和项目工程质量监督管理工 作报告提交负责组织竣工验收的交 通运输主管部门。《湖南省交通建设 工程质量与安全生产条例》（湖南省 第十二届人民代表大会常务委员会 公告 2014 年第 19 号，2020 年9 月25 日修正）第十七条 交通建设工 程交工验收前，质安监管机构应当出 具检测意见。未经检测或者检测不合 格的，建设单位不得组织交工验收。 交通建设工程交工验收合格后，建设 单位应当按照国家规定及时向交通 运输主管部门申请竣工验收。交通建设工程竣工验收前，质安监管机构应当出具质量鉴定报告。未经质量鉴定或者质量鉴定不合格的，交通运输主管部门不得组织竣工验收。质安监管机构对检测意见和质量鉴定报告负责。</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2"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409"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19"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4"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282"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vMerge w:val="continue"/>
            <w:tcBorders>
              <w:left w:val="single" w:color="000000" w:sz="4" w:space="0"/>
              <w:bottom w:val="single" w:color="000000"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655" w:type="pct"/>
            <w:vMerge w:val="continue"/>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4" w:type="pct"/>
            <w:vMerge w:val="continue"/>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256" w:type="pct"/>
            <w:vMerge w:val="continue"/>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244" w:type="pct"/>
            <w:vMerge w:val="continue"/>
            <w:tcBorders>
              <w:top w:val="single" w:color="auto" w:sz="4" w:space="0"/>
              <w:left w:val="single" w:color="000000"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1192" w:type="pct"/>
            <w:vMerge w:val="continue"/>
            <w:tcBorders>
              <w:left w:val="single" w:color="auto"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24</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出具罐式</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专用车辆</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的罐体检</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测合格证</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或者检测</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报告</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道路运输营</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运车辆年度</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定期审验</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43071805</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0W00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行政确认</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有相应资 质的质量 检验机构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检验检 测服务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《道路旅客运输及客运站管理规定》 （交通运输部令 2016 年第82号）第七十一条第一款：“ 县级以上道路运输管理机构应当定期对客运车辆进行审验，每年审验一次。审验内容包括：（一）车辆违章记录；（二）车辆技术等级评定情况；（三）客车类型等级评定情况；（四）按规定安装、使用符合标准的具有行驶记录功能的卫星定位装置情况；（五）客运经营者为客运车辆投保承运人责任险情况”。《道路货物运输及站场管理规定》（交通运输部令2016 年第 35号）第四十八条第一款：“ 县级以上道路运输管理机构应当定期对货运车辆进行审验，每年审验一次。审验内容包括车辆技术等级评定情况、车辆结构及尺寸变动情况和违章记录等”；《道路危险货物运输管理规定》（交通运输部令 2016 年第 36 号）第二十二条： “ 设区的市级道路运输管理机构应当定期对专用车辆进行审验，每年审验一次。审验按照《道路运输车辆技术管理规定》进行，并增加以下审验项目：（一）专用车辆投保危险货物承运人责任险情况；（二）必需的应急处理器材、安全防护设施设备和专用车辆标志的配备情况；（三）具有行驶记录功能的卫星定位装置的配备情况”。</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25</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出具车辆技术等级评定结论</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道路货物运 输经营许可 （除使用</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4500 千克及 以下普通货 运车辆从事 普通货运经 营外）</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00011821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6000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交通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机动车综 合性能检 测机构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检验检测服务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《中华人民共和国道路运输条例》 《道路货物运输及站场管理规定》 （交通运输部令 2019 年第 17 号）</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26</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2" w:type="pct"/>
            <w:vMerge w:val="restart"/>
            <w:tcBorders>
              <w:top w:val="single" w:color="000000" w:sz="4" w:space="0"/>
              <w:left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水利基建项目初步设计文件编制</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水利基建项目初步设计文件审批（县级权</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限）</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00011910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1004</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具有相应</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资质的勘</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察设计单</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位</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工程勘 察、工 程设计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《国务院对确需保留的行政审批项 目设定行政许可的决定》附件第 172 项：水利基建项目初步设计文件审批。实施机关：县级以上人民政府水行政主管部门。</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2" w:type="pct"/>
            <w:vMerge w:val="continue"/>
            <w:tcBorders>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农村集体经济组织修建水库审批（县级权限）</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00011911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5003</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具有相应</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资质的勘</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察设计单</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位</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工程勘 察、工 程设计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《中华人民共和国水法》第二十五 条：农村集体经济组织或者其成员依 法在本集体经济组织所有的集体土地或者承包土地上投资兴建水工程 设施的，按照谁投资建设谁管理和谁 受益的原则，对水工程设施及其蓄水进行管理和合理使用。农村集体经济 组织修建水库应当经县级以上地方人民政府水行政主管部门批准。</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27</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水库大</w:t>
            </w: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坝、水闸 安全鉴定 报告</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权限内水库 大坝、水闸 安全鉴定的 审定</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43071900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7W00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行政确认</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法资质的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勘察设计</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工程勘 察、工 程设计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1.《水库大坝安全管理条例》第二十 二条 大坝主管部门应当建立大坝 定期安全检查、鉴定制度。</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2.水利部《水库大坝安全鉴定办法》 （水建管〔2003〕271 号）第三条 省 级水行政主管部门审定大型水库和 影响县城安全或坝高50m以上中型水库的大坝安全鉴定意见；市（地）级水行政主管部门审定其它中型水 库和影响县城安全或坝高30m以上小型水库的大坝安全鉴定意见；县级水行政主管部门审定其它小型水库 的大坝安全鉴定意见。</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3.水利部《水闸安全鉴定管理办法》 （水建管〔2008〕214 号）第六条 县 级以上地方人民政府水行政主管部门和流域管理机构按分级管理原则 对水闸安全鉴定意见进行审定（以下 称鉴定审定部门）。省级地方人民 政府水行政主管部门审定大型及其直属水闸的安全鉴定意见；市（地） 级及以上地方人民政府水行政主管 部门审定中型水闸安全鉴定意见。</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3302"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28</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水资源论</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证报告书</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编制</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取水许可</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00011910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200Y</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无资质等 级要求</w:t>
            </w:r>
          </w:p>
        </w:tc>
        <w:tc>
          <w:tcPr>
            <w:tcW w:w="256"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水文、 水资源 调查评 价服务</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《中华人民共和国水法》《取水许可 和水资源费征收管理条例》</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29</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占用农业</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灌溉水</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源、灌排</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工程设施</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补偿替代</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方案编制</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占用农业灌 溉水源、灌 排工程设施 审批</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00011911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700Y</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无资质等 级要求</w:t>
            </w:r>
          </w:p>
        </w:tc>
        <w:tc>
          <w:tcPr>
            <w:tcW w:w="256"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工程勘 察、工 程设计 服务</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《国务院对确需保留的行政审批项目设定行政许可的决定》</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30</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生产建设 项目水土 保持方案 编制（含 水土保持 设施验收 报告编</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生产建设项 目水土保持 方案审批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00011910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600Y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无资质要 求</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《中华人民共和国水土保持法》 （1991 年 6 月 29 日第七届全国人民 代表大会常务委员会第二十次会议 通过 2010 年 12 月 25 日第十一届全国人民代表大会常务委员会第十八次会议修订）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 措施。 没有能力编制水土保持方案的，应当委托具备相应技术条件的机构编制。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第二十六条  依法应当编制水土保持方案的生产建设项目，生产建设单位未编制水土保持方案或者水土保持方案未经水行政主管部门批准的，生产建设项目不得开工建设。</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31</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洪水影响</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评价报告</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编制（含</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权限内洪</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泛区、蓄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滞区非防</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洪建设项</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目）</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洪水影响评价类审批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00011910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300Y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无资质要求</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《中华人民共和国水法》（1988 年 1   月 21 日主席令第六十一号，2016 年 7 月 2 日予以修改）第三十八条：在河道管理范围内建设桥梁、码头和其他拦河、跨河、临河建筑物、构筑物， 铺设跨河管道、电缆，应当符合国家规定的防洪标准和其他有关的技术要求，工程建设方案应当依照防洪法的有关规定报经有关水行政主管部门审查同意。《防洪法》（1997 年 8 月 29 日主席令第八十八号，2016 年 7 月 2 日予以修改）第二十七条：建设跨河、 穿河、 穿堤、临河的桥梁、 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工程  单位不得开工建设。《河道管理条例》 （1988 年6 月 10 日国务院令第3 号， 2011 年 1 月 8  日予以修改） 第十一  条：修建开发水利、防治水害、整治  河道的各类工程和跨河、穿河、穿堤、临河的桥梁、码头、道路、渡口、管道、缆线等建筑物及设施，建设单位必须按照河道管理权限，将工程建设方案报送河道主管机关审查同意后</w:t>
            </w:r>
            <w:r>
              <w:rPr>
                <w:rFonts w:hint="eastAsia" w:ascii="Times New Roman" w:hAnsi="Times New Roman" w:eastAsia="宋体" w:cs="Times New Roman"/>
                <w:snapToGrid/>
                <w:color w:val="000000"/>
                <w:kern w:val="0"/>
                <w:szCs w:val="21"/>
                <w:lang w:val="en-US" w:eastAsia="zh-CN"/>
              </w:rPr>
              <w:t>，</w:t>
            </w:r>
            <w:r>
              <w:rPr>
                <w:rFonts w:hint="default" w:ascii="Times New Roman" w:hAnsi="Times New Roman" w:eastAsia="宋体" w:cs="Times New Roman"/>
                <w:snapToGrid/>
                <w:color w:val="000000"/>
                <w:kern w:val="0"/>
                <w:szCs w:val="21"/>
                <w:lang w:val="en-US" w:eastAsia="zh-CN"/>
              </w:rPr>
              <w:t>方可按照基本建设程序履行审批手续。建设项目经批准后，建设单位应将施工安排告知河道主管机关。</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32</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防洪补救</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补偿措施</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设计报告</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编制</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洪水影响评 价类审批</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00011910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300Y</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水利</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 法资质的 设计机构</w:t>
            </w:r>
          </w:p>
        </w:tc>
        <w:tc>
          <w:tcPr>
            <w:tcW w:w="256"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《中华人民共和国水法》（1988 年 1  月 21 日主席令第六十一号，2016 年 7 月2 日予以修改） 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中华人民共和国防洪法》（2016 年 7 月 2 日第十二届全国人民代表大会常务委员会第二十一次会议《关于修改〈中华人民共和 国节约能源法〉等六部法律的决定》第三次修正）第二十七条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center"/>
          </w:tcPr>
          <w:p>
            <w:pPr>
              <w:spacing w:line="246" w:lineRule="auto"/>
              <w:jc w:val="center"/>
              <w:rPr>
                <w:rFonts w:hint="default" w:ascii="Times New Roman" w:hAnsi="Times New Roman" w:eastAsia="仿宋_GB2312" w:cs="Times New Roman"/>
                <w:i w:val="0"/>
                <w:snapToGrid/>
                <w:color w:val="auto"/>
                <w:kern w:val="0"/>
                <w:sz w:val="21"/>
                <w:szCs w:val="21"/>
                <w:u w:val="none"/>
                <w:lang w:val="en-US" w:eastAsia="zh-CN" w:bidi="ar"/>
              </w:rPr>
            </w:pPr>
          </w:p>
          <w:p>
            <w:pPr>
              <w:spacing w:line="246" w:lineRule="auto"/>
              <w:jc w:val="center"/>
              <w:rPr>
                <w:rFonts w:hint="default" w:ascii="Times New Roman" w:hAnsi="Times New Roman" w:eastAsia="仿宋_GB2312" w:cs="Times New Roman"/>
                <w:i w:val="0"/>
                <w:snapToGrid/>
                <w:color w:val="auto"/>
                <w:kern w:val="0"/>
                <w:sz w:val="21"/>
                <w:szCs w:val="21"/>
                <w:u w:val="none"/>
                <w:lang w:val="en-US" w:eastAsia="zh-CN" w:bidi="ar"/>
              </w:rPr>
            </w:pPr>
          </w:p>
          <w:p>
            <w:pPr>
              <w:widowControl/>
              <w:kinsoku/>
              <w:autoSpaceDE/>
              <w:autoSpaceDN/>
              <w:adjustRightInd/>
              <w:snapToGrid/>
              <w:spacing w:line="240" w:lineRule="auto"/>
              <w:jc w:val="center"/>
              <w:textAlignment w:val="auto"/>
              <w:rPr>
                <w:rFonts w:hint="default" w:ascii="Times New Roman" w:hAnsi="Times New Roman" w:eastAsia="仿宋_GB2312" w:cs="Times New Roman"/>
                <w:i w:val="0"/>
                <w:snapToGrid/>
                <w:color w:val="auto"/>
                <w:kern w:val="0"/>
                <w:sz w:val="21"/>
                <w:szCs w:val="21"/>
                <w:u w:val="none"/>
                <w:lang w:val="en-US" w:eastAsia="zh-CN" w:bidi="ar"/>
              </w:rPr>
            </w:pPr>
          </w:p>
          <w:p>
            <w:pPr>
              <w:spacing w:line="246" w:lineRule="auto"/>
              <w:jc w:val="center"/>
              <w:rPr>
                <w:rFonts w:hint="default" w:ascii="Times New Roman" w:hAnsi="Times New Roman" w:eastAsia="仿宋_GB2312" w:cs="Times New Roman"/>
                <w:i w:val="0"/>
                <w:snapToGrid/>
                <w:color w:val="auto"/>
                <w:kern w:val="0"/>
                <w:sz w:val="21"/>
                <w:szCs w:val="21"/>
                <w:u w:val="none"/>
                <w:lang w:val="en-US" w:eastAsia="zh-CN" w:bidi="ar"/>
              </w:rPr>
            </w:pPr>
          </w:p>
          <w:p>
            <w:pPr>
              <w:spacing w:before="61" w:line="187" w:lineRule="auto"/>
              <w:jc w:val="center"/>
              <w:rPr>
                <w:rFonts w:hint="eastAsia" w:ascii="Times New Roman" w:hAnsi="Times New Roman" w:eastAsia="仿宋_GB2312" w:cs="Times New Roman"/>
                <w:i w:val="0"/>
                <w:snapToGrid/>
                <w:color w:val="auto"/>
                <w:kern w:val="0"/>
                <w:sz w:val="21"/>
                <w:szCs w:val="21"/>
                <w:u w:val="none"/>
                <w:lang w:val="en-US" w:eastAsia="zh-CN" w:bidi="ar"/>
              </w:rPr>
            </w:pPr>
            <w:r>
              <w:rPr>
                <w:rFonts w:hint="eastAsia" w:ascii="Times New Roman" w:hAnsi="Times New Roman" w:eastAsia="仿宋_GB2312" w:cs="Times New Roman"/>
                <w:i w:val="0"/>
                <w:snapToGrid/>
                <w:color w:val="auto"/>
                <w:kern w:val="0"/>
                <w:sz w:val="21"/>
                <w:szCs w:val="21"/>
                <w:u w:val="none"/>
                <w:lang w:val="en-US" w:eastAsia="zh-CN" w:bidi="ar"/>
              </w:rPr>
              <w:t>33</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职业健康 检查评价 报告编制</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放射医疗工</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作人员证核</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发</w:t>
            </w:r>
          </w:p>
        </w:tc>
        <w:tc>
          <w:tcPr>
            <w:tcW w:w="319"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00072301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1000</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行政确认</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卫健</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有相应资质的检测评价机构</w:t>
            </w:r>
          </w:p>
        </w:tc>
        <w:tc>
          <w:tcPr>
            <w:tcW w:w="256"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放射卫 生技术 服务</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《放射工作人员职业健康管理办法》 （卫生部令第55号，2007 年6月 3 日发布，自2007年11月1日起施 行。）第六条：放射工作人员上岗前，放射工作单位负责向所在地县级以上地方人民政府卫生行政部门为其申请办理《放射工作人员证》。开展放射诊疗工作的医疗机构，向为其发放《放射诊疗许可证》的卫生行政部门申请办理《放射工作人员证》。开展本办法第二条第二款第（三）项所列活动以及非医用加速器运行、辐照加工、射线探伤和油田测井等活动的放射工作单位，向所在地省级卫生行政部门申请办理《放射工作人员证》。其他放射工作单位办理《放射工作人员证》的规定，由所在地省级卫生行政部门结合本地区实际情况确定。</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34</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个人剂量监测评价报告编制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放射医疗工</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作人员证核</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发</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00072301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1000</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行政确认</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卫</w:t>
            </w:r>
            <w:r>
              <w:rPr>
                <w:rFonts w:hint="eastAsia" w:ascii="Times New Roman" w:hAnsi="Times New Roman" w:eastAsia="宋体" w:cs="Times New Roman"/>
                <w:snapToGrid/>
                <w:color w:val="000000"/>
                <w:kern w:val="0"/>
                <w:szCs w:val="21"/>
                <w:lang w:val="en-US" w:eastAsia="zh-CN"/>
              </w:rPr>
              <w:t>健局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有相应资 质的检测 评价机构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放射卫 生技术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《放射工作人员职业健康管理办法》 （卫生部令第 55 号，2007 年 6 月 3 日发布，自 2007 年 11  月 1  日起施 行。）第六条：放射工作人员上岗前，放射工作单位负责向所在地县级以上地方人民政府卫生行政部门为其申请办理《放射工作人员证》。开展放射诊疗工作的医疗机构，向为其发放《放射诊疗许可证》的卫生行政部门申请办理《放射工作人员证》。开展本办法第二条第二款第（三）项所列活动以及非医用加速器运行、辐照加工、射线探伤和油田测井等活动的放射工作单位，向所在地省级卫生行政部门申请办理《放射工作人员证》。其他放射工作单位办理《放射工作人员证》的规定，由所在地省级卫生行政部门结合本地区实际情况确定。</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35</w:t>
            </w:r>
          </w:p>
        </w:tc>
        <w:tc>
          <w:tcPr>
            <w:tcW w:w="32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职业病危 害放射防 护预评价 报告编制</w:t>
            </w:r>
          </w:p>
        </w:tc>
        <w:tc>
          <w:tcPr>
            <w:tcW w:w="40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医疗机构建 设项目放射 性职业病危 害预评价报 告审核</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00012311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卫</w:t>
            </w:r>
            <w:r>
              <w:rPr>
                <w:rFonts w:hint="eastAsia" w:ascii="Times New Roman" w:hAnsi="Times New Roman" w:eastAsia="宋体" w:cs="Times New Roman"/>
                <w:snapToGrid/>
                <w:color w:val="000000"/>
                <w:kern w:val="0"/>
                <w:szCs w:val="21"/>
                <w:lang w:val="en-US" w:eastAsia="zh-CN"/>
              </w:rPr>
              <w:t>健局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有相应资质的检测评价机构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放射卫 生技术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《中华人民共和国职业病防治法》 《放射诊疗管理规定》（卫生部令第 46  号公布，国家卫生计生委令第 8 号修正）</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36</w:t>
            </w:r>
          </w:p>
        </w:tc>
        <w:tc>
          <w:tcPr>
            <w:tcW w:w="322"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生活饮用 水水质检 测报告</w:t>
            </w:r>
          </w:p>
        </w:tc>
        <w:tc>
          <w:tcPr>
            <w:tcW w:w="409" w:type="pct"/>
            <w:tcBorders>
              <w:top w:val="single" w:color="000000"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饮用水供水 单位卫生许 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00012310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500Y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卫</w:t>
            </w:r>
            <w:r>
              <w:rPr>
                <w:rFonts w:hint="eastAsia" w:ascii="Times New Roman" w:hAnsi="Times New Roman" w:eastAsia="宋体" w:cs="Times New Roman"/>
                <w:snapToGrid/>
                <w:color w:val="000000"/>
                <w:kern w:val="0"/>
                <w:szCs w:val="21"/>
                <w:lang w:val="en-US" w:eastAsia="zh-CN"/>
              </w:rPr>
              <w:t>健局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有相应资质的检测评价机构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检验检 测服务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《中华人民共和国传染病防治法》</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567" w:hRule="atLeast"/>
          <w:jc w:val="center"/>
        </w:trPr>
        <w:tc>
          <w:tcPr>
            <w:tcW w:w="131"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37</w:t>
            </w:r>
          </w:p>
        </w:tc>
        <w:tc>
          <w:tcPr>
            <w:tcW w:w="322" w:type="pct"/>
            <w:vMerge w:val="restar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安全设施设计</w:t>
            </w:r>
          </w:p>
        </w:tc>
        <w:tc>
          <w:tcPr>
            <w:tcW w:w="409" w:type="pct"/>
            <w:tcBorders>
              <w:top w:val="single" w:color="auto" w:sz="4" w:space="0"/>
              <w:left w:val="single" w:color="auto" w:sz="4" w:space="0"/>
              <w:bottom w:val="single" w:color="auto" w:sz="4" w:space="0"/>
              <w:right w:val="single" w:color="auto"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石油天然气 建设项目安 全设施设计 审查（县级 权限）</w:t>
            </w:r>
          </w:p>
        </w:tc>
        <w:tc>
          <w:tcPr>
            <w:tcW w:w="319" w:type="pct"/>
            <w:tcBorders>
              <w:top w:val="single" w:color="000000" w:sz="4" w:space="0"/>
              <w:left w:val="single" w:color="auto"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00012510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1004</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应急管理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具有相应 资质的设 计单位</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工程勘 察、工 程设计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spacing w:line="252" w:lineRule="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《建设项目安全设施“ 三同时” 监督 管理暂行办法》（2010 年 12  月 14 日国家安全生产监督管理总局令第 36 号公布，自 2011 年 2 月 1 日起施行； 根据 2015 年 4 月 2 日国家安全 生产监督管理总局令第 77 号修正） 第五条 国家安全生产监督管理总 局对全国建设项目安全设施“ 三同时” 实施综合监督管理，并在国务院规定的职责范围内承担有关建设项目安全设施“三同时” 的监督管理。县级以上地方各级安全生产监督管理 部门对本行政区域内的建设项目安 全设施“三同时”实施综合监督管理，并在本级人民政府规定的职责范围内承担本级人民政府及其有关主管部门审批、核准或者备案的建设项目安全设施“三同时” 的监督管理。跨两个及两个以上行政区域的建设项目安全设施“ 三同时” 由其共同的上一级人民政府安全生产监督管理部门实施监督管理。一级人民政府安全生产监督管理部门根据工作需要，可以将其负责监督管理的建设项目安全 设施“ 三同时” 工作委托下一级人民 政府安全生产监督管理部门实施监督管理。国家安全监管总局办公厅关于明确非煤矿山建设项目安全监管  职责等事项的通知》（安监总厅管一〔2013〕143 号）一、国家安全监管总局负责下列建设项目安全设施设  计审查和竣工验收：（一）稀土矿山开发项目、铀矿山建设项目、已探明工业储量5000 万吨及以上规模的铁矿建设项目，以及跨境、跨省（区、 市）的油气输送管网项目。（二）海洋石油天然气建设项目、企业投资年产 100 万吨及以上的陆上新油田开发项目、企业投资年产 20 亿立方米及以上的陆上新气田开发项目。（三）新建项目一次设计或者经改（扩）建 后年产300 万吨及以上或者最大开采深度1000 米及以上的金属非金属地下矿山建设项目、年产1000 万吨 及以上边坡高度200 米及以上的金 属非金属露天矿山建设项目、总库容 1 亿立方米及以上或者总坝高 200 米及以上的尾矿库建设项目。其他建设项目安全设施设计审查和竣工验收工作，由省级安全监管部门按照分 级、属地监管的原则作出规定。省级投资主管部门核准的建设项目安全设施设计审查和竣工验收工作，原则上由省级安全监管部门负责。</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vMerge w:val="continue"/>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tc>
        <w:tc>
          <w:tcPr>
            <w:tcW w:w="322" w:type="pct"/>
            <w:vMerge w:val="continue"/>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除国务院审 批（核准、 备案）的其 他金属冶炼 建设项目的 安全设施设 计审查（县 级权限）</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00012510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3004</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应急管理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质的设计</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单位</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工程勘 察、工 程设计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《建设项目安全设施“ 三同时” 监督 管理办法》（2010 年 12 月 14  日国家安全生产监督管理总局令第 36 号公布，自2011 年 2 月 1  日起施行；根据 2015 年 4 月 2  日国家安全生产监督管理总局令第 77 号修正）第五条国家安全生产监督管理总局对全国建设项目安全设施“ 三同时” 实施综合监督管理，并在国务院规定的 职责范围内承担有关建设项目安全设施“三同时” 的监督管理。县级以上地方各级安全生产监督管理部门对本行政区域内的建设项目安全设施 “三同时”实施综合监督管理，并在本级人民政府规定的职责范围内承担  本级人民政府及其有关主管部门审  批、核准或者备案的建设项目安全设  施“三同时” 的监督管理。跨两个及两个以上行政区域的建设项目安全设施“ 三同时” 由其共同的上一级人民政府安全生产监督管理部门实施监督管理。上一级人民政府安全生产监督管理部门根据工作需要，可以将其负责监督管理的建设项目安全设施“ 三同时” 工作委托下一级人民政 安全生产监督管理部门实施监督管理。《冶金企业和有色金属企业安全生产规定（2018年</w:t>
            </w:r>
            <w:r>
              <w:rPr>
                <w:rFonts w:hint="eastAsia" w:ascii="Times New Roman" w:hAnsi="Times New Roman" w:eastAsia="宋体" w:cs="Times New Roman"/>
                <w:snapToGrid/>
                <w:color w:val="000000"/>
                <w:kern w:val="0"/>
                <w:szCs w:val="21"/>
                <w:lang w:val="en-US" w:eastAsia="zh-CN"/>
              </w:rPr>
              <w:t>1</w:t>
            </w:r>
            <w:r>
              <w:rPr>
                <w:rFonts w:hint="default" w:ascii="Times New Roman" w:hAnsi="Times New Roman" w:eastAsia="宋体" w:cs="Times New Roman"/>
                <w:snapToGrid/>
                <w:color w:val="000000"/>
                <w:kern w:val="0"/>
                <w:szCs w:val="21"/>
                <w:lang w:val="en-US" w:eastAsia="zh-CN"/>
              </w:rPr>
              <w:t>月4 日国家安全生产监督管理总局令第91号公布，自2018 年3月1日起施行） 第十五条 国家安全生产监督管理总局负责实施国务院审批（核准、备案）的金属冶炼建设项目的安全设施设计审查。省、自治区、直辖市人民政府负有冶金有色安全生产监管职责的部门对本行政区域内金属冶炼建设项目实施指导和监督管理，确定并公布本行政区域内有关部门对金属冶炼建设项目安全设施设计审查的管辖权限。</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ascii="Times New Roman" w:hAnsi="Times New Roman" w:eastAsia="宋体" w:cs="Times New Roman"/>
                <w:snapToGrid/>
                <w:color w:val="000000"/>
                <w:kern w:val="0"/>
                <w:szCs w:val="21"/>
                <w:lang w:eastAsia="zh-CN"/>
              </w:rPr>
            </w:pPr>
          </w:p>
          <w:p>
            <w:pPr>
              <w:widowControl/>
              <w:kinsoku/>
              <w:autoSpaceDE/>
              <w:autoSpaceDN/>
              <w:adjustRightInd/>
              <w:snapToGrid/>
              <w:spacing w:line="240" w:lineRule="auto"/>
              <w:jc w:val="center"/>
              <w:textAlignment w:val="auto"/>
              <w:rPr>
                <w:rFonts w:ascii="Times New Roman" w:hAnsi="Times New Roman" w:eastAsia="宋体" w:cs="Times New Roman"/>
                <w:snapToGrid/>
                <w:color w:val="000000"/>
                <w:kern w:val="0"/>
                <w:szCs w:val="21"/>
                <w:lang w:val="en-US" w:eastAsia="en-US"/>
              </w:rPr>
            </w:pPr>
          </w:p>
          <w:p>
            <w:pPr>
              <w:widowControl/>
              <w:kinsoku/>
              <w:autoSpaceDE/>
              <w:autoSpaceDN/>
              <w:adjustRightInd/>
              <w:snapToGrid/>
              <w:spacing w:line="240" w:lineRule="auto"/>
              <w:jc w:val="center"/>
              <w:textAlignment w:val="auto"/>
              <w:rPr>
                <w:rFonts w:ascii="Times New Roman" w:hAnsi="Times New Roman" w:eastAsia="宋体" w:cs="Times New Roman"/>
                <w:snapToGrid/>
                <w:color w:val="000000"/>
                <w:kern w:val="0"/>
                <w:szCs w:val="21"/>
                <w:lang w:val="en-US" w:eastAsia="en-US"/>
              </w:rPr>
            </w:pPr>
          </w:p>
          <w:p>
            <w:pPr>
              <w:widowControl/>
              <w:kinsoku/>
              <w:autoSpaceDE/>
              <w:autoSpaceDN/>
              <w:adjustRightInd/>
              <w:snapToGrid/>
              <w:spacing w:line="240" w:lineRule="auto"/>
              <w:jc w:val="center"/>
              <w:textAlignment w:val="auto"/>
              <w:rPr>
                <w:rFonts w:ascii="Times New Roman" w:hAnsi="Times New Roman" w:eastAsia="宋体" w:cs="Times New Roman"/>
                <w:snapToGrid/>
                <w:color w:val="000000"/>
                <w:kern w:val="0"/>
                <w:szCs w:val="21"/>
                <w:lang w:val="en-US" w:eastAsia="en-US"/>
              </w:rPr>
            </w:pPr>
          </w:p>
          <w:p>
            <w:pPr>
              <w:widowControl/>
              <w:kinsoku/>
              <w:autoSpaceDE/>
              <w:autoSpaceDN/>
              <w:adjustRightInd/>
              <w:snapToGrid/>
              <w:spacing w:line="240" w:lineRule="auto"/>
              <w:jc w:val="center"/>
              <w:textAlignment w:val="auto"/>
              <w:rPr>
                <w:rFonts w:ascii="Times New Roman" w:hAnsi="Times New Roman" w:eastAsia="宋体" w:cs="Times New Roman"/>
                <w:snapToGrid/>
                <w:color w:val="000000"/>
                <w:kern w:val="0"/>
                <w:szCs w:val="21"/>
                <w:lang w:val="en-US" w:eastAsia="en-US"/>
              </w:rPr>
            </w:pPr>
          </w:p>
          <w:p>
            <w:pPr>
              <w:widowControl/>
              <w:kinsoku/>
              <w:autoSpaceDE/>
              <w:autoSpaceDN/>
              <w:adjustRightInd/>
              <w:snapToGrid/>
              <w:spacing w:line="240" w:lineRule="auto"/>
              <w:jc w:val="center"/>
              <w:textAlignment w:val="auto"/>
              <w:rPr>
                <w:rFonts w:ascii="Times New Roman" w:hAnsi="Times New Roman" w:eastAsia="宋体" w:cs="Times New Roman"/>
                <w:snapToGrid/>
                <w:color w:val="000000"/>
                <w:kern w:val="0"/>
                <w:szCs w:val="21"/>
                <w:lang w:val="en-US" w:eastAsia="en-US"/>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567" w:hRule="atLeast"/>
          <w:jc w:val="center"/>
        </w:trPr>
        <w:tc>
          <w:tcPr>
            <w:tcW w:w="131" w:type="pct"/>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38</w:t>
            </w:r>
          </w:p>
        </w:tc>
        <w:tc>
          <w:tcPr>
            <w:tcW w:w="322"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安全评价</w:t>
            </w: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生产、储存 烟花爆竹建 设项目安全 设施设计审 查（县级权 限）</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00012510</w:t>
            </w: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9003</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县级</w:t>
            </w: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 xml:space="preserve">应急管理 </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烟花爆竹 安全评价 机构、 烟 花爆竹设 计单位</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安全评 价服务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《建设项目安全设施“ 三同时” 监督 管理办法（2010 年12月14日国家安全生产监督管理总局令第 36号公布，自 2011年2月1日起施行；根据 2015年4月2日国家安全生产监督管理总局令第 77 号修正）第五条国家安全生产监督管理总局对全 国建设项目安全设施“ 三同时” 实施 综合监督管理，并在国务院规定的职 责范围内承担有关建设项目安全设 施“三同时” 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 “三同时” 的监督管理。跨两个及两个以上行政区域的建设项目安全设施 “ 三同时” 由其共同的上一级人民政府安全生产监督管理部门实施监督管理。上一级人民政府安全生产监督管理部门根据工作需要，可以将其负责监督管理的建设项目安全设施“三 同时”工作委托下一级人民政府安全 生产监督管理部门实施监督管理。</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359" w:hRule="atLeast"/>
          <w:jc w:val="center"/>
        </w:trPr>
        <w:tc>
          <w:tcPr>
            <w:tcW w:w="131" w:type="pct"/>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39</w:t>
            </w:r>
          </w:p>
        </w:tc>
        <w:tc>
          <w:tcPr>
            <w:tcW w:w="322"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使用林地</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可行性报</w:t>
            </w: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告编制</w:t>
            </w: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建设项目使 用林地及在 森林和野生 动物类型国 家级自然保 护区建设审 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00016421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林业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无资质</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要求</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工程咨 询服务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《建设项目使用林地审核审批管理 办法》第七条</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2301" w:hRule="atLeast"/>
          <w:jc w:val="center"/>
        </w:trPr>
        <w:tc>
          <w:tcPr>
            <w:tcW w:w="131" w:type="pct"/>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40</w:t>
            </w:r>
          </w:p>
        </w:tc>
        <w:tc>
          <w:tcPr>
            <w:tcW w:w="322"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林木采伐</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伐区调查</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设计</w:t>
            </w: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林木采伐许 可证核发</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00016421</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300Y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林业</w:t>
            </w:r>
            <w:r>
              <w:rPr>
                <w:rFonts w:hint="eastAsia" w:ascii="Times New Roman" w:hAnsi="Times New Roman" w:eastAsia="宋体" w:cs="Times New Roman"/>
                <w:snapToGrid/>
                <w:color w:val="000000"/>
                <w:kern w:val="0"/>
                <w:szCs w:val="21"/>
                <w:lang w:val="en-US" w:eastAsia="zh-CN"/>
              </w:rPr>
              <w:t>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审批部门委托符合条件的中介机构实施。</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无资质要 求。审批 部门不得 指定中介 机构，申 请人自行 委托中介 机构或自 行编制。</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场定 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林业调</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查规划</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设计服</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《中华人民共和国森林法》第五十八 条《中华人民共和国森林法实施条 例》第三十条</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r>
      <w:tr>
        <w:tblPrEx>
          <w:tblCellMar>
            <w:top w:w="0" w:type="dxa"/>
            <w:left w:w="15" w:type="dxa"/>
            <w:bottom w:w="0" w:type="dxa"/>
            <w:right w:w="15" w:type="dxa"/>
          </w:tblCellMar>
        </w:tblPrEx>
        <w:trPr>
          <w:trHeight w:val="1346" w:hRule="atLeast"/>
          <w:jc w:val="center"/>
        </w:trPr>
        <w:tc>
          <w:tcPr>
            <w:tcW w:w="131" w:type="pct"/>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41</w:t>
            </w:r>
          </w:p>
        </w:tc>
        <w:tc>
          <w:tcPr>
            <w:tcW w:w="322"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人防设备 质量检测</w:t>
            </w: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应建防空地 下室的民用 建筑项目报 建审批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00018010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发改局（人防）</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法资质的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人防工 程防护 设备质 量检测</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1.《湖南省实施&lt; 中华人民共和国人 民防空法&gt;办法》第十三条 为保障战 时人员与物资掩蔽、人民防空指挥、 医疗救护等单独修建的人民防空工 程属于国防基础设施，由人民防空主 管部门按照国家有关规定负责立项 审批、设计审查、质量监督和竣工验 收备案；其所需的建设用地由县级以 上人民政府予以划拨。</w:t>
            </w:r>
          </w:p>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2.《湖南省人民防空工程建设与维护 管理规定》（省政府令第 297 号）第十四条 单建人防工程建设项目依照国家和省有关规定，由发展改革主管部门办理立项手续，在人防主管部门办理项目初步设计审查、质量与安全监督手续、开工报告手续和竣工验收备案。</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2216" w:hRule="atLeast"/>
          <w:jc w:val="center"/>
        </w:trPr>
        <w:tc>
          <w:tcPr>
            <w:tcW w:w="131" w:type="pct"/>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42</w:t>
            </w:r>
          </w:p>
        </w:tc>
        <w:tc>
          <w:tcPr>
            <w:tcW w:w="322"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人防工程 主体结构 检测</w:t>
            </w: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应建防空地 下室的民用 建筑项目报 建审批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00018010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w:t>
            </w:r>
            <w:r>
              <w:rPr>
                <w:rFonts w:hint="eastAsia" w:ascii="Times New Roman" w:hAnsi="Times New Roman" w:eastAsia="宋体" w:cs="Times New Roman"/>
                <w:snapToGrid/>
                <w:color w:val="000000"/>
                <w:kern w:val="0"/>
                <w:szCs w:val="21"/>
                <w:lang w:val="en-US" w:eastAsia="zh-CN"/>
              </w:rPr>
              <w:t xml:space="preserve"> </w:t>
            </w:r>
            <w:r>
              <w:rPr>
                <w:rFonts w:hint="default" w:ascii="Times New Roman" w:hAnsi="Times New Roman" w:eastAsia="宋体" w:cs="Times New Roman"/>
                <w:snapToGrid/>
                <w:color w:val="000000"/>
                <w:kern w:val="0"/>
                <w:szCs w:val="21"/>
                <w:lang w:val="en-US" w:eastAsia="zh-CN"/>
              </w:rPr>
              <w:t>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发改局（人防）</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 法资质的 人防工程 检测机构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both"/>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建设工 程质量 检测</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left"/>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1.《中华人民共和国人民防空法》第 14条：城市的地下交通干线以及其 他地下工程的建设，应当兼顾人民防 空需要；2.《湖南省实施（中华人民 共和国人民防空法）》第10 条： 县 级以上人民政府编制城市总体规划 时，在城市建设布局、建筑密度，城 市主要道路、广场、绿地和水面的分 布以及城市地下空间的开发利用等 方面，应当充分考虑人民防空的需 要，提高城市整体防护能力；3.《湖 南省实施（中华人民共和国人民防空 法）》第 11 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 城市地下空间的规划、开发利用、审 批工作；4.《湖南省实施（中华人民 共和国人民防空法）》第 19 条： 人 民防空主管部门负责防空地下室人 民防空防护部分的工程质量监督管 理。防空地下室竣工验收后，建设单 位应当取得人民防空主管部门的认可文件；未取得认可文件的，住房和 城乡建设主管部门不得办理工程竣 工验收备案手续，房产管理部门不得 办理房屋权属登记、发放房屋所有权 证书；5.《湖南省实施（中华人民共 和国人民防空法）》第21 条：人民 防空工程所需专用人民防空防护设 备，必须符合国家规定的质量标准， 并按照有关规定在土建施工时安装、 预留、预埋；6.《湖南省实施（中华 人民共和国人民防空法）》第 22 条： 建设单位应当将人民防空工程档案报人民防空主管部门备案；7.《湖南省人民防空工程建设与维护管理规定》第 18 条：城市地下空间开发利用兼顾人民防空需要，应当执行下列规定：（1）城市地铁、隧道等地下交通干线、交通综合枢纽符合人防工程防护规范标准；（2）除单建人防工程外的其他独立开发地下空间项目，修建不低于地下总建筑面积 40% 的人防工程；（3）除防空地下室外的其他结合地面建筑开发地下空间项目，修建不低于地下建筑面积 10% 的防空地下室。人防主管部门参与城市地下空间开发项目的审查</w:t>
            </w:r>
            <w:r>
              <w:rPr>
                <w:rFonts w:hint="eastAsia" w:ascii="Times New Roman" w:hAnsi="Times New Roman" w:eastAsia="宋体" w:cs="Times New Roman"/>
                <w:snapToGrid/>
                <w:color w:val="000000"/>
                <w:kern w:val="0"/>
                <w:szCs w:val="21"/>
                <w:lang w:val="en-US" w:eastAsia="zh-CN"/>
              </w:rPr>
              <w:t>。</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3377" w:hRule="atLeast"/>
          <w:jc w:val="center"/>
        </w:trPr>
        <w:tc>
          <w:tcPr>
            <w:tcW w:w="131" w:type="pct"/>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43</w:t>
            </w:r>
          </w:p>
        </w:tc>
        <w:tc>
          <w:tcPr>
            <w:tcW w:w="322"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考古勘探 发掘</w:t>
            </w: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建设工程文 物保护许可</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00016810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100Y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文旅广体局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申请人可按要求自 行编制的，审批部门 不得以任何形式要 求申请人必须委托 中介机构提供服务； 申请人自行委托有 关机构实施的，审批 部门不得以任何形 式要求申请人必须 委托指定的中介机 构提供服务。</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委托有相</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应合法资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质的机构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实施</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费（市 场调节</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考古发 掘勘探 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《中华人民共和国文物保护法》</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r>
        <w:tblPrEx>
          <w:tblCellMar>
            <w:top w:w="0" w:type="dxa"/>
            <w:left w:w="15" w:type="dxa"/>
            <w:bottom w:w="0" w:type="dxa"/>
            <w:right w:w="15" w:type="dxa"/>
          </w:tblCellMar>
        </w:tblPrEx>
        <w:trPr>
          <w:trHeight w:val="2301" w:hRule="atLeast"/>
          <w:jc w:val="center"/>
        </w:trPr>
        <w:tc>
          <w:tcPr>
            <w:tcW w:w="131" w:type="pct"/>
            <w:tcBorders>
              <w:top w:val="single" w:color="auto" w:sz="4" w:space="0"/>
              <w:left w:val="single" w:color="auto"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44</w:t>
            </w:r>
          </w:p>
        </w:tc>
        <w:tc>
          <w:tcPr>
            <w:tcW w:w="322"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文物保护</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单位修</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缮、实施</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原址保护</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措施方案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编制</w:t>
            </w:r>
          </w:p>
        </w:tc>
        <w:tc>
          <w:tcPr>
            <w:tcW w:w="409"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文物保护单 位原址保护 措施审批</w:t>
            </w:r>
          </w:p>
        </w:tc>
        <w:tc>
          <w:tcPr>
            <w:tcW w:w="319"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00016810</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200Y</w:t>
            </w:r>
          </w:p>
        </w:tc>
        <w:tc>
          <w:tcPr>
            <w:tcW w:w="324"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行政许可</w:t>
            </w:r>
          </w:p>
        </w:tc>
        <w:tc>
          <w:tcPr>
            <w:tcW w:w="28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省级、市级、</w:t>
            </w:r>
            <w:r>
              <w:rPr>
                <w:rFonts w:hint="default" w:ascii="Times New Roman" w:hAnsi="Times New Roman" w:eastAsia="宋体" w:cs="Times New Roman"/>
                <w:snapToGrid/>
                <w:color w:val="000000"/>
                <w:kern w:val="0"/>
                <w:szCs w:val="21"/>
                <w:lang w:val="en-US" w:eastAsia="zh-CN"/>
              </w:rPr>
              <w:t>县级</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tc>
        <w:tc>
          <w:tcPr>
            <w:tcW w:w="325"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文旅广体局</w:t>
            </w:r>
          </w:p>
        </w:tc>
        <w:tc>
          <w:tcPr>
            <w:tcW w:w="655"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审批部门委托符合 条件的中介机构实 施。</w:t>
            </w:r>
          </w:p>
        </w:tc>
        <w:tc>
          <w:tcPr>
            <w:tcW w:w="32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有相应合</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法资质的</w:t>
            </w: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机构</w:t>
            </w:r>
          </w:p>
        </w:tc>
        <w:tc>
          <w:tcPr>
            <w:tcW w:w="256"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经营服 务性收 费（政 府定 价）</w:t>
            </w:r>
          </w:p>
        </w:tc>
        <w:tc>
          <w:tcPr>
            <w:tcW w:w="244" w:type="pct"/>
            <w:tcBorders>
              <w:top w:val="single" w:color="auto" w:sz="4" w:space="0"/>
              <w:left w:val="single" w:color="000000" w:sz="4" w:space="0"/>
              <w:bottom w:val="single" w:color="auto"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文物保 护工程 勘察设 计服务</w:t>
            </w:r>
          </w:p>
        </w:tc>
        <w:tc>
          <w:tcPr>
            <w:tcW w:w="1192"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《中华人民共和国文物保 护法》</w:t>
            </w:r>
          </w:p>
        </w:tc>
        <w:tc>
          <w:tcPr>
            <w:tcW w:w="211" w:type="pct"/>
            <w:tcBorders>
              <w:top w:val="single" w:color="000000" w:sz="4" w:space="0"/>
              <w:left w:val="single" w:color="000000" w:sz="4" w:space="0"/>
              <w:bottom w:val="single" w:color="000000" w:sz="4" w:space="0"/>
              <w:right w:val="single" w:color="000000" w:sz="4" w:space="0"/>
            </w:tcBorders>
            <w:noWrap w:val="0"/>
            <w:vAlign w:val="top"/>
          </w:tcPr>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0"/>
                <w:szCs w:val="21"/>
                <w:lang w:val="en-US" w:eastAsia="zh-CN"/>
              </w:rPr>
            </w:pPr>
            <w:r>
              <w:rPr>
                <w:rFonts w:hint="default" w:ascii="Times New Roman" w:hAnsi="Times New Roman" w:eastAsia="宋体" w:cs="Times New Roman"/>
                <w:snapToGrid/>
                <w:color w:val="000000"/>
                <w:kern w:val="0"/>
                <w:szCs w:val="21"/>
                <w:lang w:val="en-US" w:eastAsia="zh-CN"/>
              </w:rPr>
              <w:t>工改 中介 事项</w:t>
            </w:r>
          </w:p>
        </w:tc>
      </w:tr>
    </w:tbl>
    <w:p>
      <w:pPr>
        <w:spacing w:before="41"/>
        <w:rPr>
          <w:rFonts w:hint="default" w:ascii="Times New Roman" w:hAnsi="Times New Roman" w:eastAsia="方正仿宋_GBK" w:cs="Times New Roman"/>
          <w:spacing w:val="-8"/>
          <w:position w:val="-1"/>
          <w:sz w:val="32"/>
          <w:szCs w:val="32"/>
          <w:lang w:val="en-US" w:eastAsia="zh-CN"/>
        </w:rPr>
      </w:pPr>
      <w:r>
        <w:rPr>
          <w:rFonts w:hint="default" w:ascii="Times New Roman" w:hAnsi="Times New Roman" w:cs="Times New Roman"/>
        </w:rPr>
        <mc:AlternateContent>
          <mc:Choice Requires="wps">
            <w:drawing>
              <wp:anchor distT="0" distB="0" distL="0" distR="0" simplePos="0" relativeHeight="251659264" behindDoc="0" locked="0" layoutInCell="0" allowOverlap="1">
                <wp:simplePos x="0" y="0"/>
                <wp:positionH relativeFrom="page">
                  <wp:posOffset>586105</wp:posOffset>
                </wp:positionH>
                <wp:positionV relativeFrom="page">
                  <wp:posOffset>1278890</wp:posOffset>
                </wp:positionV>
                <wp:extent cx="561975" cy="219710"/>
                <wp:effectExtent l="171450" t="0" r="0" b="0"/>
                <wp:wrapNone/>
                <wp:docPr id="22" name="TextBox 22"/>
                <wp:cNvGraphicFramePr/>
                <a:graphic xmlns:a="http://schemas.openxmlformats.org/drawingml/2006/main">
                  <a:graphicData uri="http://schemas.microsoft.com/office/word/2010/wordprocessingShape">
                    <wps:wsp>
                      <wps:cNvSpPr txBox="1"/>
                      <wps:spPr>
                        <a:xfrm rot="5400000">
                          <a:off x="586570" y="1279421"/>
                          <a:ext cx="561975" cy="21970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77" w:line="191" w:lineRule="auto"/>
                              <w:ind w:left="20"/>
                              <w:rPr>
                                <w:rFonts w:ascii="Times New Roman" w:hAnsi="Times New Roman" w:eastAsia="Times New Roman" w:cs="Times New Roman"/>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46.15pt;margin-top:100.7pt;height:17.3pt;width:44.25pt;mso-position-horizontal-relative:page;mso-position-vertical-relative:page;rotation:5898240f;z-index:251659264;mso-width-relative:page;mso-height-relative:page;" filled="f" stroked="f" coordsize="21600,21600" o:allowincell="f" o:gfxdata="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wESrd1QAAAAoBAAAPAAAAAAAAAAEAIAAAACIAAABkcnMvZG93bnJldi54bWxQSwEC&#10;FAAUAAAACACHTuJAbXEH+TACAABrBAAADgAAAAAAAAABACAAAAAkAQAAZHJzL2Uyb0RvYy54bWxQ&#10;SwUGAAAAAAYABgBZAQAAxgUAAAAA&#10;">
                <v:fill on="f" focussize="0,0"/>
                <v:stroke on="f" weight="0pt"/>
                <v:imagedata o:title=""/>
                <o:lock v:ext="edit" aspectratio="f"/>
                <v:textbox inset="0mm,0mm,0mm,0mm">
                  <w:txbxContent>
                    <w:p>
                      <w:pPr>
                        <w:spacing w:before="77" w:line="191" w:lineRule="auto"/>
                        <w:ind w:left="20"/>
                        <w:rPr>
                          <w:rFonts w:ascii="Times New Roman" w:hAnsi="Times New Roman" w:eastAsia="Times New Roman" w:cs="Times New Roman"/>
                          <w:sz w:val="27"/>
                          <w:szCs w:val="27"/>
                        </w:rPr>
                      </w:pPr>
                    </w:p>
                  </w:txbxContent>
                </v:textbox>
              </v:shape>
            </w:pict>
          </mc:Fallback>
        </mc:AlternateContent>
      </w:r>
      <w:r>
        <w:rPr>
          <w:rFonts w:hint="default" w:ascii="Times New Roman" w:hAnsi="Times New Roman" w:cs="Times New Roman"/>
        </w:rPr>
        <mc:AlternateContent>
          <mc:Choice Requires="wps">
            <w:drawing>
              <wp:anchor distT="0" distB="0" distL="0" distR="0" simplePos="0" relativeHeight="251662336" behindDoc="0" locked="0" layoutInCell="0" allowOverlap="1">
                <wp:simplePos x="0" y="0"/>
                <wp:positionH relativeFrom="page">
                  <wp:posOffset>353060</wp:posOffset>
                </wp:positionH>
                <wp:positionV relativeFrom="page">
                  <wp:posOffset>5995670</wp:posOffset>
                </wp:positionV>
                <wp:extent cx="998220" cy="219710"/>
                <wp:effectExtent l="389255" t="0" r="0" b="0"/>
                <wp:wrapNone/>
                <wp:docPr id="4" name="TextBox 36"/>
                <wp:cNvGraphicFramePr/>
                <a:graphic xmlns:a="http://schemas.openxmlformats.org/drawingml/2006/main">
                  <a:graphicData uri="http://schemas.microsoft.com/office/word/2010/wordprocessingShape">
                    <wps:wsp>
                      <wps:cNvSpPr txBox="1"/>
                      <wps:spPr>
                        <a:xfrm rot="5400000">
                          <a:off x="353398" y="5996201"/>
                          <a:ext cx="998219" cy="21970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77" w:line="191" w:lineRule="auto"/>
                              <w:ind w:left="20"/>
                              <w:rPr>
                                <w:rFonts w:ascii="Times New Roman" w:hAnsi="Times New Roman" w:eastAsia="Times New Roman" w:cs="Times New Roman"/>
                                <w:sz w:val="27"/>
                                <w:szCs w:val="27"/>
                              </w:rPr>
                            </w:pPr>
                            <w:r>
                              <w:rPr>
                                <w:rFonts w:ascii="Times New Roman" w:hAnsi="Times New Roman" w:eastAsia="Times New Roman" w:cs="Times New Roman"/>
                                <w:color w:val="FFFFFF"/>
                                <w:spacing w:val="1"/>
                                <w:sz w:val="27"/>
                                <w:szCs w:val="27"/>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6" o:spid="_x0000_s1026" o:spt="202" type="#_x0000_t202" style="position:absolute;left:0pt;margin-left:27.8pt;margin-top:472.1pt;height:17.3pt;width:78.6pt;mso-position-horizontal-relative:page;mso-position-vertical-relative:page;rotation:5898240f;z-index:251662336;mso-width-relative:page;mso-height-relative:page;" filled="f" stroked="f" coordsize="21600,21600" o:allowincell="f" o:gfxdata="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z1kD1gAAAAoBAAAPAAAAAAAAAAEAIAAAACIAAABkcnMvZG93bnJldi54bWxQSwEC&#10;FAAUAAAACACHTuJA4qcZgi8CAABqBAAADgAAAAAAAAABACAAAAAlAQAAZHJzL2Uyb0RvYy54bWxQ&#10;SwUGAAAAAAYABgBZAQAAxgUAAAAA&#10;">
                <v:fill on="f" focussize="0,0"/>
                <v:stroke on="f" weight="0pt"/>
                <v:imagedata o:title=""/>
                <o:lock v:ext="edit" aspectratio="f"/>
                <v:textbox inset="0mm,0mm,0mm,0mm">
                  <w:txbxContent>
                    <w:p>
                      <w:pPr>
                        <w:spacing w:before="77" w:line="191" w:lineRule="auto"/>
                        <w:ind w:left="20"/>
                        <w:rPr>
                          <w:rFonts w:ascii="Times New Roman" w:hAnsi="Times New Roman" w:eastAsia="Times New Roman" w:cs="Times New Roman"/>
                          <w:sz w:val="27"/>
                          <w:szCs w:val="27"/>
                        </w:rPr>
                      </w:pPr>
                      <w:r>
                        <w:rPr>
                          <w:rFonts w:ascii="Times New Roman" w:hAnsi="Times New Roman" w:eastAsia="Times New Roman" w:cs="Times New Roman"/>
                          <w:color w:val="FFFFFF"/>
                          <w:spacing w:val="1"/>
                          <w:sz w:val="27"/>
                          <w:szCs w:val="27"/>
                        </w:rPr>
                        <w:t>—</w:t>
                      </w:r>
                    </w:p>
                  </w:txbxContent>
                </v:textbox>
              </v:shape>
            </w:pict>
          </mc:Fallback>
        </mc:AlternateContent>
      </w:r>
    </w:p>
    <w:sectPr>
      <w:headerReference r:id="rId5" w:type="default"/>
      <w:footerReference r:id="rId6" w:type="default"/>
      <w:pgSz w:w="16838" w:h="11906" w:orient="landscape"/>
      <w:pgMar w:top="1531" w:right="1984" w:bottom="1531" w:left="1984" w:header="851" w:footer="136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M2RiMDZkNDg4MTViY2UzNDZmZDBjMTBlYzdlMWMifQ=="/>
  </w:docVars>
  <w:rsids>
    <w:rsidRoot w:val="00000000"/>
    <w:rsid w:val="002410F1"/>
    <w:rsid w:val="00586FEC"/>
    <w:rsid w:val="007F27CB"/>
    <w:rsid w:val="00A41C0C"/>
    <w:rsid w:val="010351AA"/>
    <w:rsid w:val="010B405F"/>
    <w:rsid w:val="01487061"/>
    <w:rsid w:val="047A1C27"/>
    <w:rsid w:val="048C746D"/>
    <w:rsid w:val="05082746"/>
    <w:rsid w:val="05AB73F2"/>
    <w:rsid w:val="069114AA"/>
    <w:rsid w:val="06FF4665"/>
    <w:rsid w:val="090F464B"/>
    <w:rsid w:val="0A2902B6"/>
    <w:rsid w:val="0AA80F6C"/>
    <w:rsid w:val="0AE46017"/>
    <w:rsid w:val="0B495EAF"/>
    <w:rsid w:val="0BA94BA0"/>
    <w:rsid w:val="0BC419DA"/>
    <w:rsid w:val="0C157C1C"/>
    <w:rsid w:val="0C2D757F"/>
    <w:rsid w:val="0CE704BE"/>
    <w:rsid w:val="0CF307C8"/>
    <w:rsid w:val="0DB735A4"/>
    <w:rsid w:val="0E252C04"/>
    <w:rsid w:val="0E590AFF"/>
    <w:rsid w:val="0E7465AC"/>
    <w:rsid w:val="0E875AB4"/>
    <w:rsid w:val="0FC838F4"/>
    <w:rsid w:val="10741C20"/>
    <w:rsid w:val="10802373"/>
    <w:rsid w:val="10AA73F0"/>
    <w:rsid w:val="116243F4"/>
    <w:rsid w:val="11857963"/>
    <w:rsid w:val="118C4D48"/>
    <w:rsid w:val="12040D82"/>
    <w:rsid w:val="122B70DE"/>
    <w:rsid w:val="12D93FBD"/>
    <w:rsid w:val="134E2532"/>
    <w:rsid w:val="13520C3B"/>
    <w:rsid w:val="138A3509"/>
    <w:rsid w:val="140212F1"/>
    <w:rsid w:val="14D2701E"/>
    <w:rsid w:val="14F465BB"/>
    <w:rsid w:val="164B1493"/>
    <w:rsid w:val="176F3141"/>
    <w:rsid w:val="183F48C2"/>
    <w:rsid w:val="196675BD"/>
    <w:rsid w:val="1A6625D6"/>
    <w:rsid w:val="1B951AC6"/>
    <w:rsid w:val="1BC82E20"/>
    <w:rsid w:val="1C5D17BA"/>
    <w:rsid w:val="1C65699F"/>
    <w:rsid w:val="1C705992"/>
    <w:rsid w:val="1D6D0123"/>
    <w:rsid w:val="1D772D50"/>
    <w:rsid w:val="1E6E4153"/>
    <w:rsid w:val="1EE2069D"/>
    <w:rsid w:val="1F7E2174"/>
    <w:rsid w:val="1FF97A4C"/>
    <w:rsid w:val="201516D0"/>
    <w:rsid w:val="207E61A3"/>
    <w:rsid w:val="20A21D99"/>
    <w:rsid w:val="20E701EC"/>
    <w:rsid w:val="211D776A"/>
    <w:rsid w:val="216B2BCB"/>
    <w:rsid w:val="21731A80"/>
    <w:rsid w:val="21863561"/>
    <w:rsid w:val="21AA36F4"/>
    <w:rsid w:val="21EB5ABA"/>
    <w:rsid w:val="21F57EB0"/>
    <w:rsid w:val="21FC3824"/>
    <w:rsid w:val="221548E5"/>
    <w:rsid w:val="22417A01"/>
    <w:rsid w:val="225C42C2"/>
    <w:rsid w:val="2268710B"/>
    <w:rsid w:val="235A4524"/>
    <w:rsid w:val="23825FAA"/>
    <w:rsid w:val="23FE3883"/>
    <w:rsid w:val="253F05F7"/>
    <w:rsid w:val="25566D99"/>
    <w:rsid w:val="25893620"/>
    <w:rsid w:val="280276BA"/>
    <w:rsid w:val="280631E5"/>
    <w:rsid w:val="281741C1"/>
    <w:rsid w:val="289332B9"/>
    <w:rsid w:val="295A08AB"/>
    <w:rsid w:val="297B7724"/>
    <w:rsid w:val="2AC31382"/>
    <w:rsid w:val="2C091510"/>
    <w:rsid w:val="2CE453B8"/>
    <w:rsid w:val="2EB01EAC"/>
    <w:rsid w:val="2ED55B28"/>
    <w:rsid w:val="2F2B2ABE"/>
    <w:rsid w:val="2F430CE4"/>
    <w:rsid w:val="2FA35A9F"/>
    <w:rsid w:val="308275EA"/>
    <w:rsid w:val="31D47945"/>
    <w:rsid w:val="32C043F9"/>
    <w:rsid w:val="32FB3683"/>
    <w:rsid w:val="3304078A"/>
    <w:rsid w:val="333170A5"/>
    <w:rsid w:val="33572FB0"/>
    <w:rsid w:val="34272146"/>
    <w:rsid w:val="356572FF"/>
    <w:rsid w:val="3632560E"/>
    <w:rsid w:val="369C0C9E"/>
    <w:rsid w:val="37E7453D"/>
    <w:rsid w:val="3839689E"/>
    <w:rsid w:val="3962445C"/>
    <w:rsid w:val="39ED1F78"/>
    <w:rsid w:val="3A9A46BE"/>
    <w:rsid w:val="3AA20FB4"/>
    <w:rsid w:val="3ABC194A"/>
    <w:rsid w:val="3B005CDB"/>
    <w:rsid w:val="3B4007CD"/>
    <w:rsid w:val="3B7F12F6"/>
    <w:rsid w:val="3C4340D1"/>
    <w:rsid w:val="3C4B11D8"/>
    <w:rsid w:val="3C6C07D6"/>
    <w:rsid w:val="3EAD14E6"/>
    <w:rsid w:val="3EB72B54"/>
    <w:rsid w:val="3F632CDC"/>
    <w:rsid w:val="3FB62E0C"/>
    <w:rsid w:val="3FE756BB"/>
    <w:rsid w:val="3FEC0202"/>
    <w:rsid w:val="406D7E44"/>
    <w:rsid w:val="416E2DD5"/>
    <w:rsid w:val="41EA1493"/>
    <w:rsid w:val="4202058A"/>
    <w:rsid w:val="4426495C"/>
    <w:rsid w:val="44857BE4"/>
    <w:rsid w:val="477E6A60"/>
    <w:rsid w:val="47CB141F"/>
    <w:rsid w:val="48D07BD4"/>
    <w:rsid w:val="4A3B4FEC"/>
    <w:rsid w:val="4AF313B8"/>
    <w:rsid w:val="4B6E0A3F"/>
    <w:rsid w:val="4BC6087B"/>
    <w:rsid w:val="4C03693C"/>
    <w:rsid w:val="4D5A571F"/>
    <w:rsid w:val="4DB85401"/>
    <w:rsid w:val="4DE80F7C"/>
    <w:rsid w:val="4E77070B"/>
    <w:rsid w:val="4E9736BC"/>
    <w:rsid w:val="4EE554BC"/>
    <w:rsid w:val="4EEF633A"/>
    <w:rsid w:val="50715259"/>
    <w:rsid w:val="507C59AC"/>
    <w:rsid w:val="5100038B"/>
    <w:rsid w:val="516A7739"/>
    <w:rsid w:val="523878BB"/>
    <w:rsid w:val="54AE00FE"/>
    <w:rsid w:val="55701369"/>
    <w:rsid w:val="55B654BC"/>
    <w:rsid w:val="56382375"/>
    <w:rsid w:val="59376F65"/>
    <w:rsid w:val="5A753B98"/>
    <w:rsid w:val="5B470F42"/>
    <w:rsid w:val="5D2E3726"/>
    <w:rsid w:val="5D3D6D9F"/>
    <w:rsid w:val="5EDB5F93"/>
    <w:rsid w:val="5EF2030A"/>
    <w:rsid w:val="5F6667CE"/>
    <w:rsid w:val="5FA32D26"/>
    <w:rsid w:val="606721D5"/>
    <w:rsid w:val="60806DF2"/>
    <w:rsid w:val="61C62447"/>
    <w:rsid w:val="61E9622A"/>
    <w:rsid w:val="61F21F72"/>
    <w:rsid w:val="621024E3"/>
    <w:rsid w:val="6220088D"/>
    <w:rsid w:val="622D2FAA"/>
    <w:rsid w:val="62FE04A2"/>
    <w:rsid w:val="63610FA2"/>
    <w:rsid w:val="65AC068A"/>
    <w:rsid w:val="662F5543"/>
    <w:rsid w:val="68165E4C"/>
    <w:rsid w:val="68BC0BE4"/>
    <w:rsid w:val="691B7BD7"/>
    <w:rsid w:val="69256789"/>
    <w:rsid w:val="693E784B"/>
    <w:rsid w:val="694035C3"/>
    <w:rsid w:val="694328D0"/>
    <w:rsid w:val="697773EB"/>
    <w:rsid w:val="69E97EA6"/>
    <w:rsid w:val="6CEB5F3B"/>
    <w:rsid w:val="6DF42BCE"/>
    <w:rsid w:val="6DFF2943"/>
    <w:rsid w:val="6F7E6BF3"/>
    <w:rsid w:val="70B35FA2"/>
    <w:rsid w:val="71096990"/>
    <w:rsid w:val="71CE75C6"/>
    <w:rsid w:val="73D05340"/>
    <w:rsid w:val="75A86778"/>
    <w:rsid w:val="75E579CC"/>
    <w:rsid w:val="77C7306F"/>
    <w:rsid w:val="77DA4BE2"/>
    <w:rsid w:val="7969503B"/>
    <w:rsid w:val="79D559F6"/>
    <w:rsid w:val="7A4D5B40"/>
    <w:rsid w:val="7BDA78A7"/>
    <w:rsid w:val="7C296138"/>
    <w:rsid w:val="7D080444"/>
    <w:rsid w:val="7D2E4CDC"/>
    <w:rsid w:val="7D2E4E92"/>
    <w:rsid w:val="7DC02B5E"/>
    <w:rsid w:val="7E6D1114"/>
    <w:rsid w:val="7F272E03"/>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微软雅黑" w:hAnsi="微软雅黑" w:eastAsia="微软雅黑" w:cs="微软雅黑"/>
      <w:sz w:val="30"/>
      <w:szCs w:val="30"/>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autoRedefine/>
    <w:qFormat/>
    <w:uiPriority w:val="0"/>
    <w:rPr>
      <w:rFonts w:hint="eastAsia" w:ascii="宋体" w:hAnsi="宋体" w:eastAsia="宋体" w:cs="宋体"/>
      <w:color w:val="000000"/>
      <w:sz w:val="18"/>
      <w:szCs w:val="18"/>
      <w:u w:val="none"/>
    </w:rPr>
  </w:style>
  <w:style w:type="character" w:customStyle="1" w:styleId="8">
    <w:name w:val="font61"/>
    <w:basedOn w:val="6"/>
    <w:autoRedefine/>
    <w:qFormat/>
    <w:uiPriority w:val="0"/>
    <w:rPr>
      <w:rFonts w:ascii="Arial" w:hAnsi="Arial" w:cs="Arial"/>
      <w:color w:val="000000"/>
      <w:sz w:val="18"/>
      <w:szCs w:val="18"/>
      <w:u w:val="none"/>
    </w:rPr>
  </w:style>
  <w:style w:type="character" w:customStyle="1" w:styleId="9">
    <w:name w:val="font31"/>
    <w:basedOn w:val="6"/>
    <w:autoRedefine/>
    <w:qFormat/>
    <w:uiPriority w:val="0"/>
    <w:rPr>
      <w:rFonts w:hint="eastAsia" w:ascii="宋体" w:hAnsi="宋体" w:eastAsia="宋体" w:cs="宋体"/>
      <w:color w:val="000000"/>
      <w:sz w:val="18"/>
      <w:szCs w:val="18"/>
      <w:u w:val="none"/>
    </w:rPr>
  </w:style>
  <w:style w:type="character" w:customStyle="1" w:styleId="10">
    <w:name w:val="font71"/>
    <w:basedOn w:val="6"/>
    <w:autoRedefine/>
    <w:qFormat/>
    <w:uiPriority w:val="0"/>
    <w:rPr>
      <w:rFonts w:hint="default" w:ascii="Times New Roman" w:hAnsi="Times New Roman" w:cs="Times New Roman"/>
      <w:color w:val="000000"/>
      <w:sz w:val="18"/>
      <w:szCs w:val="18"/>
      <w:u w:val="non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22674</Words>
  <Characters>23637</Characters>
  <Lines>0</Lines>
  <Paragraphs>0</Paragraphs>
  <TotalTime>9</TotalTime>
  <ScaleCrop>false</ScaleCrop>
  <LinksUpToDate>false</LinksUpToDate>
  <CharactersWithSpaces>25521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2024-04-19T02:19:00Z</dcterms:created>
  <dc:creator>Administrator</dc:creator>
  <cp:lastModifiedBy>秦时明月有缘</cp:lastModifiedBy>
  <dcterms:modified xsi:type="dcterms:W3CDTF">2024-06-26T07:27:46Z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670A2D5CF2A84B6F99B32A5E2C1183B2_13</vt:lpwstr>
  </property>
</Properties>
</file>